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0B3FA" w14:textId="7EDF12D4" w:rsidR="00524358" w:rsidRPr="00825584" w:rsidRDefault="4FF1DEB7" w:rsidP="4FF1DEB7">
      <w:pPr>
        <w:jc w:val="right"/>
        <w:rPr>
          <w:rFonts w:ascii="Arial" w:hAnsi="Arial" w:cs="Arial"/>
          <w:sz w:val="22"/>
          <w:szCs w:val="22"/>
        </w:rPr>
      </w:pPr>
      <w:r w:rsidRPr="4FF1DEB7">
        <w:rPr>
          <w:rFonts w:ascii="Arial" w:hAnsi="Arial" w:cs="Arial"/>
          <w:sz w:val="22"/>
          <w:szCs w:val="22"/>
        </w:rPr>
        <w:t>25 September 2019</w:t>
      </w:r>
    </w:p>
    <w:p w14:paraId="672A6659" w14:textId="77777777" w:rsidR="00524358" w:rsidRPr="00825584" w:rsidRDefault="00524358" w:rsidP="00D77796">
      <w:pPr>
        <w:rPr>
          <w:rFonts w:ascii="Arial" w:hAnsi="Arial" w:cs="Arial"/>
          <w:sz w:val="22"/>
          <w:szCs w:val="22"/>
        </w:rPr>
      </w:pPr>
    </w:p>
    <w:p w14:paraId="3BE16754" w14:textId="77777777" w:rsidR="00825584" w:rsidRPr="00825584" w:rsidRDefault="00C0180C" w:rsidP="00D77796">
      <w:pPr>
        <w:rPr>
          <w:rFonts w:ascii="Arial" w:hAnsi="Arial" w:cs="Arial"/>
          <w:sz w:val="22"/>
          <w:szCs w:val="22"/>
        </w:rPr>
      </w:pPr>
      <w:r>
        <w:rPr>
          <w:rFonts w:ascii="Arial" w:hAnsi="Arial" w:cs="Arial"/>
          <w:sz w:val="22"/>
          <w:szCs w:val="22"/>
        </w:rPr>
        <w:t>Human Rights Unit</w:t>
      </w:r>
    </w:p>
    <w:p w14:paraId="7AE81D33" w14:textId="77777777" w:rsidR="00D13432" w:rsidRPr="00825584" w:rsidRDefault="00C0180C" w:rsidP="00D77796">
      <w:pPr>
        <w:rPr>
          <w:rFonts w:ascii="Arial" w:hAnsi="Arial" w:cs="Arial"/>
          <w:sz w:val="22"/>
          <w:szCs w:val="22"/>
        </w:rPr>
      </w:pPr>
      <w:r>
        <w:rPr>
          <w:rFonts w:ascii="Arial" w:hAnsi="Arial" w:cs="Arial"/>
          <w:sz w:val="22"/>
          <w:szCs w:val="22"/>
        </w:rPr>
        <w:t>Integrity Law Branch</w:t>
      </w:r>
    </w:p>
    <w:p w14:paraId="595A1544" w14:textId="77777777" w:rsidR="00524358" w:rsidRPr="00825584" w:rsidRDefault="00C0180C" w:rsidP="00D77796">
      <w:pPr>
        <w:rPr>
          <w:rFonts w:ascii="Arial" w:hAnsi="Arial" w:cs="Arial"/>
          <w:sz w:val="22"/>
          <w:szCs w:val="22"/>
        </w:rPr>
      </w:pPr>
      <w:r>
        <w:rPr>
          <w:rFonts w:ascii="Arial" w:hAnsi="Arial" w:cs="Arial"/>
          <w:sz w:val="22"/>
          <w:szCs w:val="22"/>
        </w:rPr>
        <w:t>Integrity and Security Division</w:t>
      </w:r>
    </w:p>
    <w:p w14:paraId="31FA961B" w14:textId="77777777" w:rsidR="00825584" w:rsidRPr="00825584" w:rsidRDefault="00C0180C" w:rsidP="00D77796">
      <w:pPr>
        <w:rPr>
          <w:rFonts w:ascii="Arial" w:hAnsi="Arial" w:cs="Arial"/>
          <w:sz w:val="22"/>
          <w:szCs w:val="22"/>
        </w:rPr>
      </w:pPr>
      <w:r>
        <w:rPr>
          <w:rFonts w:ascii="Arial" w:hAnsi="Arial" w:cs="Arial"/>
          <w:sz w:val="22"/>
          <w:szCs w:val="22"/>
        </w:rPr>
        <w:t>Attorney General's Department</w:t>
      </w:r>
    </w:p>
    <w:p w14:paraId="0A37501D" w14:textId="77777777" w:rsidR="00093D8E" w:rsidRDefault="00093D8E" w:rsidP="00D77796">
      <w:pPr>
        <w:rPr>
          <w:rFonts w:ascii="Arial" w:hAnsi="Arial" w:cs="Arial"/>
          <w:sz w:val="22"/>
          <w:szCs w:val="22"/>
        </w:rPr>
      </w:pPr>
    </w:p>
    <w:p w14:paraId="62C707F9" w14:textId="77777777" w:rsidR="00825584" w:rsidRPr="005C0E1F" w:rsidRDefault="00825584" w:rsidP="00D77796">
      <w:pPr>
        <w:rPr>
          <w:rFonts w:ascii="Arial" w:hAnsi="Arial" w:cs="Arial"/>
          <w:b/>
          <w:sz w:val="22"/>
          <w:szCs w:val="22"/>
        </w:rPr>
      </w:pPr>
      <w:r w:rsidRPr="005C0E1F">
        <w:rPr>
          <w:rFonts w:ascii="Arial" w:hAnsi="Arial" w:cs="Arial"/>
          <w:b/>
          <w:sz w:val="22"/>
          <w:szCs w:val="22"/>
        </w:rPr>
        <w:t xml:space="preserve">BY EMAIL: </w:t>
      </w:r>
      <w:r w:rsidR="00C0180C">
        <w:rPr>
          <w:rFonts w:ascii="Arial" w:hAnsi="Arial" w:cs="Arial"/>
          <w:b/>
          <w:sz w:val="22"/>
          <w:szCs w:val="22"/>
        </w:rPr>
        <w:t>FoRConsultation@ag.gov.au</w:t>
      </w:r>
    </w:p>
    <w:p w14:paraId="3E42B691" w14:textId="6C837537" w:rsidR="00425985" w:rsidRPr="005C0E1F" w:rsidRDefault="4FF1DEB7" w:rsidP="4FF1DEB7">
      <w:pPr>
        <w:jc w:val="right"/>
        <w:rPr>
          <w:rFonts w:ascii="Arial" w:hAnsi="Arial" w:cs="Arial"/>
          <w:sz w:val="19"/>
          <w:szCs w:val="19"/>
        </w:rPr>
      </w:pPr>
      <w:r w:rsidRPr="4FF1DEB7">
        <w:rPr>
          <w:rFonts w:ascii="Arial" w:hAnsi="Arial" w:cs="Arial"/>
          <w:sz w:val="19"/>
          <w:szCs w:val="19"/>
        </w:rPr>
        <w:t>Our reference: EXT2019/95</w:t>
      </w:r>
    </w:p>
    <w:p w14:paraId="5DAB6C7B" w14:textId="77777777" w:rsidR="00A02A67" w:rsidRPr="00825584" w:rsidRDefault="00A02A67" w:rsidP="00D77796">
      <w:pPr>
        <w:rPr>
          <w:rFonts w:ascii="Arial" w:hAnsi="Arial" w:cs="Arial"/>
          <w:sz w:val="22"/>
          <w:szCs w:val="22"/>
          <w:highlight w:val="cyan"/>
        </w:rPr>
      </w:pPr>
    </w:p>
    <w:p w14:paraId="19A02B01" w14:textId="77777777" w:rsidR="00DE433D" w:rsidRPr="00612269" w:rsidRDefault="00612269" w:rsidP="00DE433D">
      <w:pPr>
        <w:pStyle w:val="paragraph"/>
        <w:spacing w:before="0" w:beforeAutospacing="0" w:after="0" w:afterAutospacing="0"/>
        <w:textAlignment w:val="baseline"/>
        <w:rPr>
          <w:rFonts w:ascii="Arial" w:hAnsi="Arial" w:cs="Arial"/>
          <w:sz w:val="22"/>
          <w:szCs w:val="22"/>
        </w:rPr>
      </w:pPr>
      <w:r w:rsidRPr="00612269">
        <w:rPr>
          <w:rStyle w:val="normaltextrun"/>
          <w:rFonts w:ascii="Arial" w:hAnsi="Arial" w:cs="Arial"/>
          <w:b/>
          <w:bCs/>
          <w:iCs/>
          <w:sz w:val="22"/>
          <w:szCs w:val="22"/>
        </w:rPr>
        <w:t xml:space="preserve">ACNC Submission </w:t>
      </w:r>
      <w:r w:rsidR="00E5178F">
        <w:rPr>
          <w:rStyle w:val="normaltextrun"/>
          <w:rFonts w:ascii="Arial" w:hAnsi="Arial" w:cs="Arial"/>
          <w:b/>
          <w:bCs/>
          <w:iCs/>
          <w:sz w:val="22"/>
          <w:szCs w:val="22"/>
        </w:rPr>
        <w:t>- Religious Freedom Bills</w:t>
      </w:r>
    </w:p>
    <w:p w14:paraId="02EB378F" w14:textId="77777777" w:rsidR="00612269" w:rsidRDefault="00612269" w:rsidP="00612269">
      <w:pPr>
        <w:pStyle w:val="ListParagraph"/>
        <w:ind w:left="360"/>
        <w:rPr>
          <w:rFonts w:ascii="Arial" w:hAnsi="Arial" w:cs="Arial"/>
          <w:sz w:val="22"/>
          <w:szCs w:val="22"/>
        </w:rPr>
      </w:pPr>
    </w:p>
    <w:p w14:paraId="588173D6" w14:textId="76292EE6" w:rsidR="00D77796" w:rsidRDefault="1C267099" w:rsidP="1C267099">
      <w:pPr>
        <w:pStyle w:val="ListParagraph"/>
        <w:numPr>
          <w:ilvl w:val="0"/>
          <w:numId w:val="36"/>
        </w:numPr>
        <w:spacing w:line="276" w:lineRule="auto"/>
        <w:rPr>
          <w:rFonts w:ascii="Arial" w:hAnsi="Arial" w:cs="Arial"/>
          <w:sz w:val="22"/>
          <w:szCs w:val="22"/>
        </w:rPr>
      </w:pPr>
      <w:r w:rsidRPr="1C267099">
        <w:rPr>
          <w:rFonts w:ascii="Arial" w:hAnsi="Arial" w:cs="Arial"/>
          <w:sz w:val="22"/>
          <w:szCs w:val="22"/>
        </w:rPr>
        <w:t>The Australian Charities and Not-for-profits Commission (</w:t>
      </w:r>
      <w:r w:rsidRPr="1C267099">
        <w:rPr>
          <w:rFonts w:ascii="Arial" w:hAnsi="Arial" w:cs="Arial"/>
          <w:b/>
          <w:bCs/>
          <w:sz w:val="22"/>
          <w:szCs w:val="22"/>
        </w:rPr>
        <w:t>ACNC</w:t>
      </w:r>
      <w:r w:rsidRPr="1C267099">
        <w:rPr>
          <w:rFonts w:ascii="Arial" w:hAnsi="Arial" w:cs="Arial"/>
          <w:sz w:val="22"/>
          <w:szCs w:val="22"/>
        </w:rPr>
        <w:t>) welcomes the opportunity to provide a submission to the Attorney General's Department's (</w:t>
      </w:r>
      <w:r w:rsidRPr="1C267099">
        <w:rPr>
          <w:rFonts w:ascii="Arial" w:hAnsi="Arial" w:cs="Arial"/>
          <w:b/>
          <w:bCs/>
          <w:sz w:val="22"/>
          <w:szCs w:val="22"/>
        </w:rPr>
        <w:t>AG's</w:t>
      </w:r>
      <w:r w:rsidRPr="1C267099">
        <w:rPr>
          <w:rFonts w:ascii="Arial" w:hAnsi="Arial" w:cs="Arial"/>
          <w:sz w:val="22"/>
          <w:szCs w:val="22"/>
        </w:rPr>
        <w:t>) Consultation on the Religious Freedom Bills (</w:t>
      </w:r>
      <w:r w:rsidRPr="1C267099">
        <w:rPr>
          <w:rFonts w:ascii="Arial" w:hAnsi="Arial" w:cs="Arial"/>
          <w:b/>
          <w:bCs/>
          <w:sz w:val="22"/>
          <w:szCs w:val="22"/>
        </w:rPr>
        <w:t>the Consultation</w:t>
      </w:r>
      <w:r w:rsidRPr="1C267099">
        <w:rPr>
          <w:rFonts w:ascii="Arial" w:hAnsi="Arial" w:cs="Arial"/>
          <w:sz w:val="22"/>
          <w:szCs w:val="22"/>
        </w:rPr>
        <w:t>).</w:t>
      </w:r>
    </w:p>
    <w:p w14:paraId="72B7ACD4" w14:textId="77777777" w:rsidR="002C5C73" w:rsidRDefault="002C5C73" w:rsidP="002C5C73">
      <w:pPr>
        <w:pStyle w:val="ListParagraph"/>
        <w:numPr>
          <w:ilvl w:val="0"/>
          <w:numId w:val="36"/>
        </w:numPr>
        <w:spacing w:line="276" w:lineRule="auto"/>
        <w:rPr>
          <w:rFonts w:ascii="Arial" w:hAnsi="Arial" w:cs="Arial"/>
          <w:sz w:val="22"/>
          <w:szCs w:val="22"/>
        </w:rPr>
      </w:pPr>
      <w:r>
        <w:rPr>
          <w:rFonts w:ascii="Arial" w:hAnsi="Arial" w:cs="Arial"/>
          <w:sz w:val="22"/>
          <w:szCs w:val="22"/>
          <w:lang w:val="en-AU"/>
        </w:rPr>
        <w:t xml:space="preserve">The ACNC notes that the Bills, should they be enacted, will have a direct relevance to the charity sector.  The ACNC </w:t>
      </w:r>
      <w:proofErr w:type="gramStart"/>
      <w:r>
        <w:rPr>
          <w:rFonts w:ascii="Arial" w:hAnsi="Arial" w:cs="Arial"/>
          <w:sz w:val="22"/>
          <w:szCs w:val="22"/>
          <w:lang w:val="en-AU"/>
        </w:rPr>
        <w:t>is able to</w:t>
      </w:r>
      <w:proofErr w:type="gramEnd"/>
      <w:r>
        <w:rPr>
          <w:rFonts w:ascii="Arial" w:hAnsi="Arial" w:cs="Arial"/>
          <w:sz w:val="22"/>
          <w:szCs w:val="22"/>
          <w:lang w:val="en-AU"/>
        </w:rPr>
        <w:t xml:space="preserve"> work with AG's or the Australian Human Rights Commission to ensure charities are aware of the legislation once enacted.</w:t>
      </w:r>
    </w:p>
    <w:p w14:paraId="4F21CA33" w14:textId="77777777" w:rsidR="002C5C73" w:rsidRPr="002C5C73" w:rsidRDefault="002C5C73" w:rsidP="002C5C73">
      <w:pPr>
        <w:spacing w:line="276" w:lineRule="auto"/>
        <w:rPr>
          <w:rFonts w:ascii="Arial" w:hAnsi="Arial" w:cs="Arial"/>
          <w:sz w:val="22"/>
          <w:szCs w:val="22"/>
        </w:rPr>
      </w:pPr>
    </w:p>
    <w:p w14:paraId="60E25780" w14:textId="6FD1FA52" w:rsidR="002C5C73" w:rsidRPr="002C5C73" w:rsidRDefault="002C5C73" w:rsidP="002C5C73">
      <w:pPr>
        <w:spacing w:line="276" w:lineRule="auto"/>
        <w:rPr>
          <w:rFonts w:ascii="Arial" w:hAnsi="Arial" w:cs="Arial"/>
          <w:b/>
          <w:sz w:val="22"/>
          <w:szCs w:val="22"/>
        </w:rPr>
      </w:pPr>
      <w:r w:rsidRPr="002C5C73">
        <w:rPr>
          <w:rFonts w:ascii="Arial" w:hAnsi="Arial" w:cs="Arial"/>
          <w:b/>
          <w:sz w:val="22"/>
          <w:szCs w:val="22"/>
        </w:rPr>
        <w:t xml:space="preserve">About the ACNC and the </w:t>
      </w:r>
      <w:r>
        <w:rPr>
          <w:rFonts w:ascii="Arial" w:hAnsi="Arial" w:cs="Arial"/>
          <w:b/>
          <w:sz w:val="22"/>
          <w:szCs w:val="22"/>
        </w:rPr>
        <w:t xml:space="preserve">Charity </w:t>
      </w:r>
      <w:r w:rsidRPr="002C5C73">
        <w:rPr>
          <w:rFonts w:ascii="Arial" w:hAnsi="Arial" w:cs="Arial"/>
          <w:b/>
          <w:sz w:val="22"/>
          <w:szCs w:val="22"/>
        </w:rPr>
        <w:t>Sector</w:t>
      </w:r>
    </w:p>
    <w:p w14:paraId="48CD0695" w14:textId="77777777" w:rsidR="002C5C73" w:rsidRPr="002C5C73" w:rsidRDefault="002C5C73" w:rsidP="002C5C73">
      <w:pPr>
        <w:spacing w:line="276" w:lineRule="auto"/>
        <w:rPr>
          <w:rFonts w:ascii="Arial" w:hAnsi="Arial" w:cs="Arial"/>
          <w:sz w:val="22"/>
          <w:szCs w:val="22"/>
        </w:rPr>
      </w:pPr>
    </w:p>
    <w:p w14:paraId="780C52C9" w14:textId="55636339" w:rsidR="00612269" w:rsidRPr="00612269" w:rsidRDefault="00612269" w:rsidP="00187DEC">
      <w:pPr>
        <w:pStyle w:val="ListParagraph"/>
        <w:numPr>
          <w:ilvl w:val="0"/>
          <w:numId w:val="36"/>
        </w:numPr>
        <w:spacing w:line="276" w:lineRule="auto"/>
        <w:rPr>
          <w:rFonts w:ascii="Arial" w:hAnsi="Arial" w:cs="Arial"/>
          <w:sz w:val="22"/>
          <w:szCs w:val="22"/>
        </w:rPr>
      </w:pPr>
      <w:r w:rsidRPr="00612269">
        <w:rPr>
          <w:rFonts w:ascii="Arial" w:hAnsi="Arial" w:cs="Arial"/>
          <w:sz w:val="22"/>
          <w:szCs w:val="22"/>
        </w:rPr>
        <w:t xml:space="preserve">The ACNC was established on 3 December 2012 by the </w:t>
      </w:r>
      <w:r w:rsidRPr="00DA7133">
        <w:rPr>
          <w:rFonts w:ascii="Arial" w:hAnsi="Arial" w:cs="Arial"/>
          <w:i/>
          <w:sz w:val="22"/>
          <w:szCs w:val="22"/>
        </w:rPr>
        <w:t>Australian Charities and Not-for-profits Commission Act 2012</w:t>
      </w:r>
      <w:r w:rsidRPr="00612269">
        <w:rPr>
          <w:rFonts w:ascii="Arial" w:hAnsi="Arial" w:cs="Arial"/>
          <w:sz w:val="22"/>
          <w:szCs w:val="22"/>
        </w:rPr>
        <w:t xml:space="preserve"> (</w:t>
      </w:r>
      <w:proofErr w:type="spellStart"/>
      <w:r w:rsidRPr="00612269">
        <w:rPr>
          <w:rFonts w:ascii="Arial" w:hAnsi="Arial" w:cs="Arial"/>
          <w:sz w:val="22"/>
          <w:szCs w:val="22"/>
        </w:rPr>
        <w:t>Cth</w:t>
      </w:r>
      <w:proofErr w:type="spellEnd"/>
      <w:r w:rsidRPr="00612269">
        <w:rPr>
          <w:rFonts w:ascii="Arial" w:hAnsi="Arial" w:cs="Arial"/>
          <w:sz w:val="22"/>
          <w:szCs w:val="22"/>
        </w:rPr>
        <w:t>) (</w:t>
      </w:r>
      <w:r w:rsidRPr="00DA7133">
        <w:rPr>
          <w:rFonts w:ascii="Arial" w:hAnsi="Arial" w:cs="Arial"/>
          <w:b/>
          <w:sz w:val="22"/>
          <w:szCs w:val="22"/>
        </w:rPr>
        <w:t>ACNC Act</w:t>
      </w:r>
      <w:r w:rsidRPr="00612269">
        <w:rPr>
          <w:rFonts w:ascii="Arial" w:hAnsi="Arial" w:cs="Arial"/>
          <w:sz w:val="22"/>
          <w:szCs w:val="22"/>
        </w:rPr>
        <w:t>). The objects of the ACNC Act are to:</w:t>
      </w:r>
    </w:p>
    <w:p w14:paraId="245FFDE7" w14:textId="77777777" w:rsidR="00612269" w:rsidRPr="00612269" w:rsidRDefault="00612269" w:rsidP="00187DEC">
      <w:pPr>
        <w:pStyle w:val="ListParagraph"/>
        <w:numPr>
          <w:ilvl w:val="1"/>
          <w:numId w:val="36"/>
        </w:numPr>
        <w:spacing w:line="276" w:lineRule="auto"/>
        <w:rPr>
          <w:rFonts w:ascii="Arial" w:hAnsi="Arial" w:cs="Arial"/>
          <w:sz w:val="22"/>
          <w:szCs w:val="22"/>
        </w:rPr>
      </w:pPr>
      <w:r w:rsidRPr="00612269">
        <w:rPr>
          <w:rFonts w:ascii="Arial" w:hAnsi="Arial" w:cs="Arial"/>
          <w:sz w:val="22"/>
          <w:szCs w:val="22"/>
        </w:rPr>
        <w:t>maintain, protect and enhance public trust and confidence in the Australian not-for-profit sector; and</w:t>
      </w:r>
    </w:p>
    <w:p w14:paraId="63E237CB" w14:textId="77777777" w:rsidR="00612269" w:rsidRPr="00612269" w:rsidRDefault="00612269" w:rsidP="00187DEC">
      <w:pPr>
        <w:pStyle w:val="ListParagraph"/>
        <w:numPr>
          <w:ilvl w:val="1"/>
          <w:numId w:val="36"/>
        </w:numPr>
        <w:spacing w:line="276" w:lineRule="auto"/>
        <w:rPr>
          <w:rFonts w:ascii="Arial" w:hAnsi="Arial" w:cs="Arial"/>
          <w:sz w:val="22"/>
          <w:szCs w:val="22"/>
        </w:rPr>
      </w:pPr>
      <w:r w:rsidRPr="00612269">
        <w:rPr>
          <w:rFonts w:ascii="Arial" w:hAnsi="Arial" w:cs="Arial"/>
          <w:sz w:val="22"/>
          <w:szCs w:val="22"/>
        </w:rPr>
        <w:t>support and sustain a robust, vibrant, independent and innovative Australian not-for-profit sector; and</w:t>
      </w:r>
    </w:p>
    <w:p w14:paraId="2F8CFE4B" w14:textId="77777777" w:rsidR="00612269" w:rsidRPr="00612269" w:rsidRDefault="00612269" w:rsidP="00187DEC">
      <w:pPr>
        <w:pStyle w:val="ListParagraph"/>
        <w:numPr>
          <w:ilvl w:val="1"/>
          <w:numId w:val="36"/>
        </w:numPr>
        <w:spacing w:line="276" w:lineRule="auto"/>
        <w:rPr>
          <w:rFonts w:ascii="Arial" w:hAnsi="Arial" w:cs="Arial"/>
          <w:sz w:val="22"/>
          <w:szCs w:val="22"/>
        </w:rPr>
      </w:pPr>
      <w:r w:rsidRPr="00612269">
        <w:rPr>
          <w:rFonts w:ascii="Arial" w:hAnsi="Arial" w:cs="Arial"/>
          <w:sz w:val="22"/>
          <w:szCs w:val="22"/>
        </w:rPr>
        <w:t>promote the reduction of unnecessary regulatory obligations on the Australian not-for-profit sector.1</w:t>
      </w:r>
    </w:p>
    <w:p w14:paraId="72091FEC" w14:textId="77777777" w:rsidR="0067728A" w:rsidRDefault="0067728A" w:rsidP="00187DEC">
      <w:pPr>
        <w:pStyle w:val="ListParagraph"/>
        <w:numPr>
          <w:ilvl w:val="0"/>
          <w:numId w:val="36"/>
        </w:numPr>
        <w:spacing w:line="276" w:lineRule="auto"/>
        <w:rPr>
          <w:rFonts w:ascii="Arial" w:hAnsi="Arial" w:cs="Arial"/>
          <w:sz w:val="22"/>
          <w:szCs w:val="22"/>
        </w:rPr>
      </w:pPr>
      <w:r w:rsidRPr="0067728A">
        <w:rPr>
          <w:rFonts w:ascii="Arial" w:hAnsi="Arial" w:cs="Arial"/>
          <w:sz w:val="22"/>
          <w:szCs w:val="22"/>
        </w:rPr>
        <w:t>Currently the ACNC’s regulatory responsibility extends only to registered charities, as distinct from the wider NFP sector</w:t>
      </w:r>
      <w:r>
        <w:rPr>
          <w:rFonts w:ascii="Arial" w:hAnsi="Arial" w:cs="Arial"/>
          <w:sz w:val="22"/>
          <w:szCs w:val="22"/>
        </w:rPr>
        <w:t>.</w:t>
      </w:r>
    </w:p>
    <w:p w14:paraId="352DD766" w14:textId="7D6BBCAA" w:rsidR="00612269" w:rsidRPr="00187DEC" w:rsidRDefault="00A72381" w:rsidP="1C267099">
      <w:pPr>
        <w:pStyle w:val="ListParagraph"/>
        <w:numPr>
          <w:ilvl w:val="0"/>
          <w:numId w:val="36"/>
        </w:numPr>
        <w:spacing w:line="276" w:lineRule="auto"/>
        <w:rPr>
          <w:rFonts w:ascii="Arial" w:hAnsi="Arial" w:cs="Arial"/>
          <w:sz w:val="22"/>
          <w:szCs w:val="22"/>
        </w:rPr>
      </w:pPr>
      <w:bookmarkStart w:id="0" w:name="_GoBack"/>
      <w:r>
        <w:rPr>
          <w:rFonts w:ascii="Arial" w:hAnsi="Arial" w:cs="Arial"/>
          <w:sz w:val="22"/>
          <w:szCs w:val="22"/>
        </w:rPr>
        <w:t>Just over</w:t>
      </w:r>
      <w:r w:rsidR="00612269" w:rsidRPr="00612269">
        <w:rPr>
          <w:rFonts w:ascii="Arial" w:hAnsi="Arial" w:cs="Arial"/>
          <w:sz w:val="22"/>
          <w:szCs w:val="22"/>
        </w:rPr>
        <w:t xml:space="preserve"> 5</w:t>
      </w:r>
      <w:r>
        <w:rPr>
          <w:rFonts w:ascii="Arial" w:hAnsi="Arial" w:cs="Arial"/>
          <w:sz w:val="22"/>
          <w:szCs w:val="22"/>
        </w:rPr>
        <w:t>7</w:t>
      </w:r>
      <w:r w:rsidR="00612269" w:rsidRPr="00612269">
        <w:rPr>
          <w:rFonts w:ascii="Arial" w:hAnsi="Arial" w:cs="Arial"/>
          <w:sz w:val="22"/>
          <w:szCs w:val="22"/>
        </w:rPr>
        <w:t>,000 charities are regulated by the ACNC</w:t>
      </w:r>
      <w:r w:rsidR="00612269">
        <w:rPr>
          <w:rStyle w:val="FootnoteReference"/>
          <w:rFonts w:ascii="Arial" w:hAnsi="Arial" w:cs="Arial"/>
          <w:sz w:val="22"/>
          <w:szCs w:val="22"/>
        </w:rPr>
        <w:footnoteReference w:id="1"/>
      </w:r>
      <w:r w:rsidR="00612269" w:rsidRPr="00612269">
        <w:rPr>
          <w:rFonts w:ascii="Arial" w:hAnsi="Arial" w:cs="Arial"/>
          <w:sz w:val="22"/>
          <w:szCs w:val="22"/>
        </w:rPr>
        <w:t xml:space="preserve">. Australia’s charities deliver services, </w:t>
      </w:r>
      <w:bookmarkEnd w:id="0"/>
      <w:r w:rsidR="00612269" w:rsidRPr="00612269">
        <w:rPr>
          <w:rFonts w:ascii="Arial" w:hAnsi="Arial" w:cs="Arial"/>
          <w:sz w:val="22"/>
          <w:szCs w:val="22"/>
        </w:rPr>
        <w:t xml:space="preserve">make grants and perform a wide range of other activities to advance health, education, welfare, religious and other charitable causes. </w:t>
      </w:r>
      <w:r>
        <w:rPr>
          <w:rFonts w:ascii="Arial" w:hAnsi="Arial" w:cs="Arial"/>
          <w:sz w:val="22"/>
          <w:szCs w:val="22"/>
        </w:rPr>
        <w:t>As reported in the 2017 Australian Charities, 30.4% of charities reported their main activity as religious activities.  Other charities may have a different main activity but also have a religious background or motivation.  It is not possible to calculate numbers for these types of charities.</w:t>
      </w:r>
    </w:p>
    <w:p w14:paraId="6A05A809" w14:textId="77777777" w:rsidR="00187DEC" w:rsidRDefault="00187DEC" w:rsidP="00187DEC">
      <w:pPr>
        <w:spacing w:line="276" w:lineRule="auto"/>
        <w:rPr>
          <w:rFonts w:ascii="Arial" w:hAnsi="Arial" w:cs="Arial"/>
          <w:sz w:val="22"/>
          <w:szCs w:val="22"/>
        </w:rPr>
      </w:pPr>
    </w:p>
    <w:p w14:paraId="06E20810" w14:textId="77777777" w:rsidR="002C5C73" w:rsidRDefault="002C5C73">
      <w:pPr>
        <w:rPr>
          <w:rFonts w:ascii="Arial" w:hAnsi="Arial" w:cs="Arial"/>
          <w:b/>
          <w:sz w:val="22"/>
          <w:szCs w:val="22"/>
        </w:rPr>
      </w:pPr>
      <w:r>
        <w:rPr>
          <w:rFonts w:ascii="Arial" w:hAnsi="Arial" w:cs="Arial"/>
          <w:b/>
          <w:sz w:val="22"/>
          <w:szCs w:val="22"/>
        </w:rPr>
        <w:br w:type="page"/>
      </w:r>
    </w:p>
    <w:p w14:paraId="4A3C1FB4" w14:textId="536ECC7F" w:rsidR="0067728A" w:rsidRDefault="0067728A" w:rsidP="00187DEC">
      <w:pPr>
        <w:spacing w:line="276" w:lineRule="auto"/>
        <w:rPr>
          <w:rFonts w:ascii="Arial" w:hAnsi="Arial" w:cs="Arial"/>
          <w:b/>
          <w:sz w:val="22"/>
          <w:szCs w:val="22"/>
        </w:rPr>
      </w:pPr>
      <w:r w:rsidRPr="0067728A">
        <w:rPr>
          <w:rFonts w:ascii="Arial" w:hAnsi="Arial" w:cs="Arial"/>
          <w:b/>
          <w:sz w:val="22"/>
          <w:szCs w:val="22"/>
        </w:rPr>
        <w:lastRenderedPageBreak/>
        <w:t xml:space="preserve">Charity law and </w:t>
      </w:r>
      <w:r w:rsidR="00E5178F">
        <w:rPr>
          <w:rFonts w:ascii="Arial" w:hAnsi="Arial" w:cs="Arial"/>
          <w:b/>
          <w:sz w:val="22"/>
          <w:szCs w:val="22"/>
        </w:rPr>
        <w:t>advocacy</w:t>
      </w:r>
    </w:p>
    <w:p w14:paraId="5CA80F35" w14:textId="77777777" w:rsidR="002C5C73" w:rsidRPr="0067728A" w:rsidRDefault="002C5C73" w:rsidP="00187DEC">
      <w:pPr>
        <w:spacing w:line="276" w:lineRule="auto"/>
        <w:rPr>
          <w:rFonts w:ascii="Arial" w:hAnsi="Arial" w:cs="Arial"/>
          <w:b/>
          <w:sz w:val="22"/>
          <w:szCs w:val="22"/>
        </w:rPr>
      </w:pPr>
    </w:p>
    <w:p w14:paraId="559FE552" w14:textId="77777777" w:rsidR="00187DEC" w:rsidRDefault="00993C74" w:rsidP="00187DEC">
      <w:pPr>
        <w:pStyle w:val="ListParagraph"/>
        <w:numPr>
          <w:ilvl w:val="0"/>
          <w:numId w:val="36"/>
        </w:numPr>
        <w:spacing w:line="276" w:lineRule="auto"/>
        <w:rPr>
          <w:rFonts w:ascii="Arial" w:hAnsi="Arial" w:cs="Arial"/>
          <w:sz w:val="22"/>
          <w:szCs w:val="22"/>
        </w:rPr>
      </w:pPr>
      <w:r w:rsidRPr="000320F4">
        <w:rPr>
          <w:rFonts w:ascii="Arial" w:hAnsi="Arial" w:cs="Arial"/>
          <w:sz w:val="22"/>
          <w:szCs w:val="22"/>
        </w:rPr>
        <w:t xml:space="preserve">The ACNC </w:t>
      </w:r>
      <w:r w:rsidR="00E5178F" w:rsidRPr="000320F4">
        <w:rPr>
          <w:rFonts w:ascii="Arial" w:hAnsi="Arial" w:cs="Arial"/>
          <w:sz w:val="22"/>
          <w:szCs w:val="22"/>
        </w:rPr>
        <w:t>notes that one of the Bills in the Religious Freedom package, the Human Rights Legislation Amendment (Freedom of Religion) Bill 2019</w:t>
      </w:r>
      <w:r w:rsidR="000320F4">
        <w:rPr>
          <w:rFonts w:ascii="Arial" w:hAnsi="Arial" w:cs="Arial"/>
          <w:sz w:val="22"/>
          <w:szCs w:val="22"/>
        </w:rPr>
        <w:t xml:space="preserve"> proposes amending</w:t>
      </w:r>
      <w:r w:rsidR="000320F4" w:rsidRPr="000320F4">
        <w:rPr>
          <w:rFonts w:ascii="Arial" w:hAnsi="Arial" w:cs="Arial"/>
          <w:sz w:val="22"/>
          <w:szCs w:val="22"/>
        </w:rPr>
        <w:t xml:space="preserve"> </w:t>
      </w:r>
      <w:r w:rsidR="0067728A" w:rsidRPr="000320F4">
        <w:rPr>
          <w:rFonts w:ascii="Arial" w:hAnsi="Arial" w:cs="Arial"/>
          <w:i/>
          <w:sz w:val="22"/>
          <w:szCs w:val="22"/>
        </w:rPr>
        <w:t>The Charities Act 2013</w:t>
      </w:r>
      <w:r w:rsidR="0067728A" w:rsidRPr="000320F4">
        <w:rPr>
          <w:rFonts w:ascii="Arial" w:hAnsi="Arial" w:cs="Arial"/>
          <w:sz w:val="22"/>
          <w:szCs w:val="22"/>
        </w:rPr>
        <w:t xml:space="preserve"> (</w:t>
      </w:r>
      <w:proofErr w:type="spellStart"/>
      <w:r w:rsidR="0067728A" w:rsidRPr="000320F4">
        <w:rPr>
          <w:rFonts w:ascii="Arial" w:hAnsi="Arial" w:cs="Arial"/>
          <w:sz w:val="22"/>
          <w:szCs w:val="22"/>
        </w:rPr>
        <w:t>Cth</w:t>
      </w:r>
      <w:proofErr w:type="spellEnd"/>
      <w:r w:rsidR="0067728A" w:rsidRPr="000320F4">
        <w:rPr>
          <w:rFonts w:ascii="Arial" w:hAnsi="Arial" w:cs="Arial"/>
          <w:sz w:val="22"/>
          <w:szCs w:val="22"/>
        </w:rPr>
        <w:t>)</w:t>
      </w:r>
      <w:r w:rsidR="000320F4">
        <w:rPr>
          <w:rFonts w:ascii="Arial" w:hAnsi="Arial" w:cs="Arial"/>
          <w:sz w:val="22"/>
          <w:szCs w:val="22"/>
        </w:rPr>
        <w:t xml:space="preserve"> (</w:t>
      </w:r>
      <w:r w:rsidR="000320F4" w:rsidRPr="000320F4">
        <w:rPr>
          <w:rFonts w:ascii="Arial" w:hAnsi="Arial" w:cs="Arial"/>
          <w:b/>
          <w:sz w:val="22"/>
          <w:szCs w:val="22"/>
        </w:rPr>
        <w:t>the Charities Act</w:t>
      </w:r>
      <w:r w:rsidR="000320F4">
        <w:rPr>
          <w:rFonts w:ascii="Arial" w:hAnsi="Arial" w:cs="Arial"/>
          <w:sz w:val="22"/>
          <w:szCs w:val="22"/>
        </w:rPr>
        <w:t xml:space="preserve">).  </w:t>
      </w:r>
    </w:p>
    <w:p w14:paraId="0E456EDD" w14:textId="77777777" w:rsidR="0067728A" w:rsidRPr="000320F4" w:rsidRDefault="000320F4" w:rsidP="00187DEC">
      <w:pPr>
        <w:pStyle w:val="ListParagraph"/>
        <w:numPr>
          <w:ilvl w:val="0"/>
          <w:numId w:val="36"/>
        </w:numPr>
        <w:spacing w:line="276" w:lineRule="auto"/>
        <w:rPr>
          <w:rFonts w:ascii="Arial" w:hAnsi="Arial" w:cs="Arial"/>
          <w:sz w:val="22"/>
          <w:szCs w:val="22"/>
        </w:rPr>
      </w:pPr>
      <w:r>
        <w:rPr>
          <w:rFonts w:ascii="Arial" w:hAnsi="Arial" w:cs="Arial"/>
          <w:sz w:val="22"/>
          <w:szCs w:val="22"/>
        </w:rPr>
        <w:t>The Charities Act</w:t>
      </w:r>
      <w:r w:rsidR="00993C74" w:rsidRPr="000320F4">
        <w:rPr>
          <w:rFonts w:ascii="Arial" w:hAnsi="Arial" w:cs="Arial"/>
          <w:sz w:val="22"/>
          <w:szCs w:val="22"/>
        </w:rPr>
        <w:t xml:space="preserve"> </w:t>
      </w:r>
      <w:r w:rsidR="0067728A" w:rsidRPr="000320F4">
        <w:rPr>
          <w:rFonts w:ascii="Arial" w:hAnsi="Arial" w:cs="Arial"/>
          <w:sz w:val="22"/>
          <w:szCs w:val="22"/>
        </w:rPr>
        <w:t xml:space="preserve">commenced on 1 January 2014. The Act clarified concepts from the common law to introduce a statutory definition of ‘charity’ for Commonwealth purposes. Among other requirements, not-for-profit organisations must meet the definition of ‘charity’ in the Charities Act to become and remain a registered charity. </w:t>
      </w:r>
    </w:p>
    <w:p w14:paraId="008D3DF2" w14:textId="77777777" w:rsidR="0067728A" w:rsidRDefault="0067728A" w:rsidP="00187DEC">
      <w:pPr>
        <w:pStyle w:val="ListParagraph"/>
        <w:numPr>
          <w:ilvl w:val="0"/>
          <w:numId w:val="36"/>
        </w:numPr>
        <w:spacing w:line="276" w:lineRule="auto"/>
        <w:rPr>
          <w:rFonts w:ascii="Arial" w:hAnsi="Arial" w:cs="Arial"/>
          <w:sz w:val="22"/>
          <w:szCs w:val="22"/>
        </w:rPr>
      </w:pPr>
      <w:r w:rsidRPr="0067728A">
        <w:rPr>
          <w:rFonts w:ascii="Arial" w:hAnsi="Arial" w:cs="Arial"/>
          <w:sz w:val="22"/>
          <w:szCs w:val="22"/>
        </w:rPr>
        <w:t>Section 5 of the Charities Act defines ‘charity’:</w:t>
      </w:r>
    </w:p>
    <w:p w14:paraId="60752C99" w14:textId="77777777" w:rsidR="0067728A" w:rsidRPr="0067728A" w:rsidRDefault="0067728A" w:rsidP="0067728A">
      <w:pPr>
        <w:pStyle w:val="ListParagraph"/>
        <w:ind w:left="360" w:firstLine="360"/>
        <w:rPr>
          <w:rFonts w:ascii="Arial" w:hAnsi="Arial" w:cs="Arial"/>
          <w:sz w:val="20"/>
        </w:rPr>
      </w:pPr>
      <w:r w:rsidRPr="0067728A">
        <w:rPr>
          <w:rFonts w:ascii="Arial" w:hAnsi="Arial" w:cs="Arial"/>
          <w:sz w:val="20"/>
        </w:rPr>
        <w:t>charity means an entity:</w:t>
      </w:r>
    </w:p>
    <w:p w14:paraId="67F8F274" w14:textId="77777777" w:rsidR="0067728A" w:rsidRPr="0067728A" w:rsidRDefault="0067728A" w:rsidP="0067728A">
      <w:pPr>
        <w:pStyle w:val="ListParagraph"/>
        <w:ind w:left="360" w:firstLine="360"/>
        <w:rPr>
          <w:rFonts w:ascii="Arial" w:hAnsi="Arial" w:cs="Arial"/>
          <w:sz w:val="20"/>
        </w:rPr>
      </w:pPr>
      <w:r w:rsidRPr="0067728A">
        <w:rPr>
          <w:rFonts w:ascii="Arial" w:hAnsi="Arial" w:cs="Arial"/>
          <w:sz w:val="20"/>
        </w:rPr>
        <w:t>(a) that is a not-for-profit entity; and</w:t>
      </w:r>
    </w:p>
    <w:p w14:paraId="7B44D2E0" w14:textId="77777777" w:rsidR="0067728A" w:rsidRPr="0067728A" w:rsidRDefault="0067728A" w:rsidP="0067728A">
      <w:pPr>
        <w:pStyle w:val="ListParagraph"/>
        <w:ind w:left="360" w:firstLine="360"/>
        <w:rPr>
          <w:rFonts w:ascii="Arial" w:hAnsi="Arial" w:cs="Arial"/>
          <w:sz w:val="20"/>
        </w:rPr>
      </w:pPr>
      <w:r w:rsidRPr="0067728A">
        <w:rPr>
          <w:rFonts w:ascii="Arial" w:hAnsi="Arial" w:cs="Arial"/>
          <w:sz w:val="20"/>
        </w:rPr>
        <w:t xml:space="preserve">(b) </w:t>
      </w:r>
      <w:proofErr w:type="gramStart"/>
      <w:r w:rsidRPr="0067728A">
        <w:rPr>
          <w:rFonts w:ascii="Arial" w:hAnsi="Arial" w:cs="Arial"/>
          <w:sz w:val="20"/>
        </w:rPr>
        <w:t>all of</w:t>
      </w:r>
      <w:proofErr w:type="gramEnd"/>
      <w:r w:rsidRPr="0067728A">
        <w:rPr>
          <w:rFonts w:ascii="Arial" w:hAnsi="Arial" w:cs="Arial"/>
          <w:sz w:val="20"/>
        </w:rPr>
        <w:t xml:space="preserve"> the purposes of which are:</w:t>
      </w:r>
    </w:p>
    <w:p w14:paraId="0A20E065" w14:textId="77777777" w:rsidR="0067728A" w:rsidRPr="0067728A" w:rsidRDefault="0067728A" w:rsidP="0067728A">
      <w:pPr>
        <w:pStyle w:val="ListParagraph"/>
        <w:ind w:left="1080"/>
        <w:rPr>
          <w:rFonts w:ascii="Arial" w:hAnsi="Arial" w:cs="Arial"/>
          <w:sz w:val="20"/>
        </w:rPr>
      </w:pPr>
      <w:r w:rsidRPr="0067728A">
        <w:rPr>
          <w:rFonts w:ascii="Arial" w:hAnsi="Arial" w:cs="Arial"/>
          <w:sz w:val="20"/>
        </w:rPr>
        <w:t>(</w:t>
      </w:r>
      <w:proofErr w:type="spellStart"/>
      <w:r w:rsidRPr="0067728A">
        <w:rPr>
          <w:rFonts w:ascii="Arial" w:hAnsi="Arial" w:cs="Arial"/>
          <w:sz w:val="20"/>
        </w:rPr>
        <w:t>i</w:t>
      </w:r>
      <w:proofErr w:type="spellEnd"/>
      <w:r w:rsidRPr="0067728A">
        <w:rPr>
          <w:rFonts w:ascii="Arial" w:hAnsi="Arial" w:cs="Arial"/>
          <w:sz w:val="20"/>
        </w:rPr>
        <w:t>) charitable purposes (see Part 3) that are for the public benefit (see Division 2 of this Part); or</w:t>
      </w:r>
    </w:p>
    <w:p w14:paraId="28BD3836" w14:textId="77777777" w:rsidR="0067728A" w:rsidRPr="0067728A" w:rsidRDefault="0067728A" w:rsidP="0067728A">
      <w:pPr>
        <w:pStyle w:val="ListParagraph"/>
        <w:ind w:left="1080"/>
        <w:rPr>
          <w:rFonts w:ascii="Arial" w:hAnsi="Arial" w:cs="Arial"/>
          <w:sz w:val="20"/>
        </w:rPr>
      </w:pPr>
      <w:r w:rsidRPr="0067728A">
        <w:rPr>
          <w:rFonts w:ascii="Arial" w:hAnsi="Arial" w:cs="Arial"/>
          <w:sz w:val="20"/>
        </w:rPr>
        <w:t>(ii) purposes that are incidental or ancillary to, and in furtherance or in aid of, purposes of the entity covered by subparagraph (</w:t>
      </w:r>
      <w:proofErr w:type="spellStart"/>
      <w:r w:rsidRPr="0067728A">
        <w:rPr>
          <w:rFonts w:ascii="Arial" w:hAnsi="Arial" w:cs="Arial"/>
          <w:sz w:val="20"/>
        </w:rPr>
        <w:t>i</w:t>
      </w:r>
      <w:proofErr w:type="spellEnd"/>
      <w:r w:rsidRPr="0067728A">
        <w:rPr>
          <w:rFonts w:ascii="Arial" w:hAnsi="Arial" w:cs="Arial"/>
          <w:sz w:val="20"/>
        </w:rPr>
        <w:t>); and</w:t>
      </w:r>
    </w:p>
    <w:p w14:paraId="5A39BBE3" w14:textId="77777777" w:rsidR="0067728A" w:rsidRDefault="0067728A" w:rsidP="0067728A">
      <w:pPr>
        <w:pStyle w:val="ListParagraph"/>
        <w:ind w:left="1080"/>
        <w:rPr>
          <w:rFonts w:ascii="Arial" w:hAnsi="Arial" w:cs="Arial"/>
          <w:sz w:val="22"/>
          <w:szCs w:val="22"/>
        </w:rPr>
      </w:pPr>
    </w:p>
    <w:p w14:paraId="7A7487E8" w14:textId="77777777" w:rsidR="0067728A" w:rsidRPr="0067728A" w:rsidRDefault="0067728A" w:rsidP="0067728A">
      <w:pPr>
        <w:pStyle w:val="ListParagraph"/>
        <w:ind w:left="1080"/>
        <w:rPr>
          <w:rFonts w:ascii="Arial" w:hAnsi="Arial" w:cs="Arial"/>
          <w:sz w:val="18"/>
          <w:szCs w:val="18"/>
        </w:rPr>
      </w:pPr>
      <w:r w:rsidRPr="0067728A">
        <w:rPr>
          <w:rFonts w:ascii="Arial" w:hAnsi="Arial" w:cs="Arial"/>
          <w:sz w:val="18"/>
          <w:szCs w:val="18"/>
        </w:rPr>
        <w:t>Note 1: In determining the purposes of the entity, have regard to the entity’s governing rules, its activities and any other relevant matter.</w:t>
      </w:r>
    </w:p>
    <w:p w14:paraId="0EB71EF3" w14:textId="77777777" w:rsidR="0067728A" w:rsidRPr="0067728A" w:rsidRDefault="0067728A" w:rsidP="0067728A">
      <w:pPr>
        <w:pStyle w:val="ListParagraph"/>
        <w:ind w:left="1080"/>
        <w:rPr>
          <w:rFonts w:ascii="Arial" w:hAnsi="Arial" w:cs="Arial"/>
          <w:sz w:val="18"/>
          <w:szCs w:val="18"/>
        </w:rPr>
      </w:pPr>
      <w:r w:rsidRPr="0067728A">
        <w:rPr>
          <w:rFonts w:ascii="Arial" w:hAnsi="Arial" w:cs="Arial"/>
          <w:sz w:val="18"/>
          <w:szCs w:val="18"/>
        </w:rPr>
        <w:t>Note 2: The requirement in subparagraph (b)(</w:t>
      </w:r>
      <w:proofErr w:type="spellStart"/>
      <w:r w:rsidRPr="0067728A">
        <w:rPr>
          <w:rFonts w:ascii="Arial" w:hAnsi="Arial" w:cs="Arial"/>
          <w:sz w:val="18"/>
          <w:szCs w:val="18"/>
        </w:rPr>
        <w:t>i</w:t>
      </w:r>
      <w:proofErr w:type="spellEnd"/>
      <w:r w:rsidRPr="0067728A">
        <w:rPr>
          <w:rFonts w:ascii="Arial" w:hAnsi="Arial" w:cs="Arial"/>
          <w:sz w:val="18"/>
          <w:szCs w:val="18"/>
        </w:rPr>
        <w:t>) that a purpose be for the public benefit does not apply to certain entities (see section 10).</w:t>
      </w:r>
    </w:p>
    <w:p w14:paraId="41C8F396" w14:textId="77777777" w:rsidR="0067728A" w:rsidRPr="0067728A" w:rsidRDefault="0067728A" w:rsidP="0067728A">
      <w:pPr>
        <w:rPr>
          <w:rFonts w:ascii="Arial" w:hAnsi="Arial" w:cs="Arial"/>
          <w:sz w:val="22"/>
          <w:szCs w:val="22"/>
        </w:rPr>
      </w:pPr>
    </w:p>
    <w:p w14:paraId="6BD81358" w14:textId="77777777" w:rsidR="0067728A" w:rsidRPr="0067728A" w:rsidRDefault="0067728A" w:rsidP="0067728A">
      <w:pPr>
        <w:pStyle w:val="ListParagraph"/>
        <w:rPr>
          <w:rFonts w:ascii="Arial" w:hAnsi="Arial" w:cs="Arial"/>
          <w:sz w:val="20"/>
        </w:rPr>
      </w:pPr>
      <w:r w:rsidRPr="0067728A">
        <w:rPr>
          <w:rFonts w:ascii="Arial" w:hAnsi="Arial" w:cs="Arial"/>
          <w:sz w:val="20"/>
        </w:rPr>
        <w:t>(c) none of the purposes of which are disqualifying purposes (see Division 3); and</w:t>
      </w:r>
    </w:p>
    <w:p w14:paraId="471F3E08" w14:textId="77777777" w:rsidR="0067728A" w:rsidRPr="0067728A" w:rsidRDefault="0067728A" w:rsidP="0067728A">
      <w:pPr>
        <w:pStyle w:val="ListParagraph"/>
        <w:rPr>
          <w:rFonts w:ascii="Arial" w:hAnsi="Arial" w:cs="Arial"/>
          <w:sz w:val="20"/>
        </w:rPr>
      </w:pPr>
      <w:r w:rsidRPr="0067728A">
        <w:rPr>
          <w:rFonts w:ascii="Arial" w:hAnsi="Arial" w:cs="Arial"/>
          <w:sz w:val="20"/>
        </w:rPr>
        <w:t>(d) that is not an individual, a political party or a government entity.</w:t>
      </w:r>
    </w:p>
    <w:p w14:paraId="72A3D3EC" w14:textId="77777777" w:rsidR="0067728A" w:rsidRDefault="0067728A" w:rsidP="0067728A">
      <w:pPr>
        <w:rPr>
          <w:rFonts w:ascii="Arial" w:hAnsi="Arial" w:cs="Arial"/>
          <w:sz w:val="22"/>
          <w:szCs w:val="22"/>
        </w:rPr>
      </w:pPr>
    </w:p>
    <w:p w14:paraId="4E982D0C" w14:textId="77777777" w:rsidR="00993C74" w:rsidRDefault="0067728A" w:rsidP="00187DEC">
      <w:pPr>
        <w:pStyle w:val="ListParagraph"/>
        <w:numPr>
          <w:ilvl w:val="0"/>
          <w:numId w:val="36"/>
        </w:numPr>
        <w:spacing w:line="276" w:lineRule="auto"/>
        <w:rPr>
          <w:rFonts w:ascii="Arial" w:hAnsi="Arial" w:cs="Arial"/>
          <w:sz w:val="22"/>
          <w:szCs w:val="22"/>
        </w:rPr>
      </w:pPr>
      <w:r w:rsidRPr="0067728A">
        <w:rPr>
          <w:rFonts w:ascii="Arial" w:hAnsi="Arial" w:cs="Arial"/>
          <w:sz w:val="22"/>
          <w:szCs w:val="22"/>
        </w:rPr>
        <w:t>The meaning of ‘disqualifying purpose’ is defined by section 11 of the Charities Act:</w:t>
      </w:r>
    </w:p>
    <w:p w14:paraId="6351FB48" w14:textId="77777777" w:rsidR="00993C74" w:rsidRPr="00993C74" w:rsidRDefault="0067728A" w:rsidP="00993C74">
      <w:pPr>
        <w:pStyle w:val="ListParagraph"/>
        <w:rPr>
          <w:rFonts w:ascii="Arial" w:hAnsi="Arial" w:cs="Arial"/>
          <w:sz w:val="20"/>
        </w:rPr>
      </w:pPr>
      <w:r w:rsidRPr="00993C74">
        <w:rPr>
          <w:rFonts w:ascii="Arial" w:hAnsi="Arial" w:cs="Arial"/>
          <w:b/>
          <w:i/>
          <w:sz w:val="20"/>
        </w:rPr>
        <w:t>disqualifying purpose</w:t>
      </w:r>
      <w:r w:rsidRPr="00993C74">
        <w:rPr>
          <w:rFonts w:ascii="Arial" w:hAnsi="Arial" w:cs="Arial"/>
          <w:sz w:val="20"/>
        </w:rPr>
        <w:t xml:space="preserve"> means:</w:t>
      </w:r>
    </w:p>
    <w:p w14:paraId="45960CE1" w14:textId="77777777" w:rsidR="00993C74" w:rsidRPr="00993C74" w:rsidRDefault="00993C74" w:rsidP="00993C74">
      <w:pPr>
        <w:pStyle w:val="ListParagraph"/>
        <w:rPr>
          <w:rFonts w:ascii="Arial" w:hAnsi="Arial" w:cs="Arial"/>
          <w:sz w:val="20"/>
        </w:rPr>
      </w:pPr>
      <w:r w:rsidRPr="00993C74">
        <w:rPr>
          <w:rFonts w:ascii="Arial" w:hAnsi="Arial" w:cs="Arial"/>
          <w:sz w:val="20"/>
        </w:rPr>
        <w:t>(</w:t>
      </w:r>
      <w:r w:rsidR="0067728A" w:rsidRPr="00993C74">
        <w:rPr>
          <w:rFonts w:ascii="Arial" w:hAnsi="Arial" w:cs="Arial"/>
          <w:sz w:val="20"/>
        </w:rPr>
        <w:t>a) the purpose of engaging in, or promoting, activities that are</w:t>
      </w:r>
      <w:r w:rsidRPr="00993C74">
        <w:rPr>
          <w:rFonts w:ascii="Arial" w:hAnsi="Arial" w:cs="Arial"/>
          <w:sz w:val="20"/>
        </w:rPr>
        <w:t xml:space="preserve"> </w:t>
      </w:r>
      <w:r w:rsidR="0067728A" w:rsidRPr="00993C74">
        <w:rPr>
          <w:rFonts w:ascii="Arial" w:hAnsi="Arial" w:cs="Arial"/>
          <w:sz w:val="20"/>
        </w:rPr>
        <w:t>unlawful or contrary to public policy; or</w:t>
      </w:r>
    </w:p>
    <w:p w14:paraId="08040AA4" w14:textId="77777777" w:rsidR="00993C74" w:rsidRPr="00993C74" w:rsidRDefault="0067728A" w:rsidP="00993C74">
      <w:pPr>
        <w:pStyle w:val="ListParagraph"/>
        <w:ind w:left="1440"/>
        <w:rPr>
          <w:rFonts w:ascii="Arial" w:hAnsi="Arial" w:cs="Arial"/>
          <w:sz w:val="18"/>
          <w:szCs w:val="18"/>
        </w:rPr>
      </w:pPr>
      <w:r w:rsidRPr="00993C74">
        <w:rPr>
          <w:rFonts w:ascii="Arial" w:hAnsi="Arial" w:cs="Arial"/>
          <w:sz w:val="18"/>
          <w:szCs w:val="18"/>
        </w:rPr>
        <w:t>Example: Public policy includes the rule of law, the constitutional system</w:t>
      </w:r>
    </w:p>
    <w:p w14:paraId="422C7892" w14:textId="77777777" w:rsidR="00993C74" w:rsidRPr="00993C74" w:rsidRDefault="0067728A" w:rsidP="00993C74">
      <w:pPr>
        <w:pStyle w:val="ListParagraph"/>
        <w:ind w:left="1440"/>
        <w:rPr>
          <w:rFonts w:ascii="Arial" w:hAnsi="Arial" w:cs="Arial"/>
          <w:sz w:val="18"/>
          <w:szCs w:val="18"/>
        </w:rPr>
      </w:pPr>
      <w:r w:rsidRPr="00993C74">
        <w:rPr>
          <w:rFonts w:ascii="Arial" w:hAnsi="Arial" w:cs="Arial"/>
          <w:sz w:val="18"/>
          <w:szCs w:val="18"/>
        </w:rPr>
        <w:t xml:space="preserve">of government of the Commonwealth, the safety of the </w:t>
      </w:r>
      <w:proofErr w:type="gramStart"/>
      <w:r w:rsidRPr="00993C74">
        <w:rPr>
          <w:rFonts w:ascii="Arial" w:hAnsi="Arial" w:cs="Arial"/>
          <w:sz w:val="18"/>
          <w:szCs w:val="18"/>
        </w:rPr>
        <w:t>genera</w:t>
      </w:r>
      <w:r w:rsidR="00993C74" w:rsidRPr="00993C74">
        <w:rPr>
          <w:rFonts w:ascii="Arial" w:hAnsi="Arial" w:cs="Arial"/>
          <w:sz w:val="18"/>
          <w:szCs w:val="18"/>
        </w:rPr>
        <w:t>l public</w:t>
      </w:r>
      <w:proofErr w:type="gramEnd"/>
      <w:r w:rsidR="00993C74" w:rsidRPr="00993C74">
        <w:rPr>
          <w:rFonts w:ascii="Arial" w:hAnsi="Arial" w:cs="Arial"/>
          <w:sz w:val="18"/>
          <w:szCs w:val="18"/>
        </w:rPr>
        <w:t xml:space="preserve"> and national security.</w:t>
      </w:r>
    </w:p>
    <w:p w14:paraId="0D0B940D" w14:textId="77777777" w:rsidR="00993C74" w:rsidRPr="00993C74" w:rsidRDefault="00993C74" w:rsidP="00993C74">
      <w:pPr>
        <w:pStyle w:val="ListParagraph"/>
        <w:ind w:left="1440"/>
        <w:rPr>
          <w:rFonts w:ascii="Arial" w:hAnsi="Arial" w:cs="Arial"/>
          <w:sz w:val="18"/>
          <w:szCs w:val="18"/>
        </w:rPr>
      </w:pPr>
    </w:p>
    <w:p w14:paraId="3C618B73" w14:textId="77777777" w:rsidR="00993C74" w:rsidRPr="00993C74" w:rsidRDefault="00993C74" w:rsidP="00993C74">
      <w:pPr>
        <w:pStyle w:val="ListParagraph"/>
        <w:ind w:left="1440"/>
        <w:rPr>
          <w:rFonts w:ascii="Arial" w:hAnsi="Arial" w:cs="Arial"/>
          <w:sz w:val="18"/>
          <w:szCs w:val="18"/>
        </w:rPr>
      </w:pPr>
      <w:r w:rsidRPr="00993C74">
        <w:rPr>
          <w:rFonts w:ascii="Arial" w:hAnsi="Arial" w:cs="Arial"/>
          <w:sz w:val="18"/>
          <w:szCs w:val="18"/>
        </w:rPr>
        <w:t>Note: Activities are not contrary to public policy merely because they are contrary to government policy.</w:t>
      </w:r>
    </w:p>
    <w:p w14:paraId="64717FF1" w14:textId="77777777" w:rsidR="00993C74" w:rsidRPr="00993C74" w:rsidRDefault="00993C74" w:rsidP="00993C74">
      <w:pPr>
        <w:ind w:firstLine="720"/>
        <w:rPr>
          <w:rFonts w:ascii="Arial" w:hAnsi="Arial" w:cs="Arial"/>
          <w:sz w:val="20"/>
        </w:rPr>
      </w:pPr>
      <w:r w:rsidRPr="00993C74">
        <w:rPr>
          <w:rFonts w:ascii="Arial" w:hAnsi="Arial" w:cs="Arial"/>
          <w:sz w:val="20"/>
        </w:rPr>
        <w:t xml:space="preserve">(b) the purpose of promoting or opposing a political party or a candidate for political </w:t>
      </w:r>
    </w:p>
    <w:p w14:paraId="6B0043E7" w14:textId="77777777" w:rsidR="00993C74" w:rsidRPr="00993C74" w:rsidRDefault="00993C74" w:rsidP="00993C74">
      <w:pPr>
        <w:ind w:firstLine="720"/>
        <w:rPr>
          <w:rFonts w:ascii="Arial" w:hAnsi="Arial" w:cs="Arial"/>
          <w:sz w:val="20"/>
        </w:rPr>
      </w:pPr>
      <w:r w:rsidRPr="00993C74">
        <w:rPr>
          <w:rFonts w:ascii="Arial" w:hAnsi="Arial" w:cs="Arial"/>
          <w:sz w:val="20"/>
        </w:rPr>
        <w:t>office.</w:t>
      </w:r>
    </w:p>
    <w:p w14:paraId="0E27B00A" w14:textId="77777777" w:rsidR="00993C74" w:rsidRDefault="00993C74" w:rsidP="00993C74">
      <w:pPr>
        <w:ind w:firstLine="720"/>
        <w:rPr>
          <w:rFonts w:ascii="Arial" w:hAnsi="Arial" w:cs="Arial"/>
          <w:sz w:val="22"/>
          <w:szCs w:val="22"/>
        </w:rPr>
      </w:pPr>
    </w:p>
    <w:p w14:paraId="5DFD99D6" w14:textId="77777777" w:rsidR="00993C74" w:rsidRPr="00993C74" w:rsidRDefault="00993C74" w:rsidP="00993C74">
      <w:pPr>
        <w:ind w:left="1440"/>
        <w:rPr>
          <w:rFonts w:ascii="Arial" w:hAnsi="Arial" w:cs="Arial"/>
          <w:sz w:val="18"/>
          <w:szCs w:val="18"/>
        </w:rPr>
      </w:pPr>
      <w:r w:rsidRPr="00993C74">
        <w:rPr>
          <w:rFonts w:ascii="Arial" w:hAnsi="Arial" w:cs="Arial"/>
          <w:sz w:val="18"/>
          <w:szCs w:val="18"/>
        </w:rPr>
        <w:t>Example: Paragraph (b) does not apply to the purpose of distributing information, or advancing debate, about the policies of political parties or candidates for political office (such as by assessing, critiquing, comparing or ranking those policies).</w:t>
      </w:r>
    </w:p>
    <w:p w14:paraId="60061E4C" w14:textId="77777777" w:rsidR="00993C74" w:rsidRPr="00993C74" w:rsidRDefault="00993C74" w:rsidP="00993C74">
      <w:pPr>
        <w:ind w:left="720" w:firstLine="720"/>
        <w:rPr>
          <w:rFonts w:ascii="Arial" w:hAnsi="Arial" w:cs="Arial"/>
          <w:sz w:val="18"/>
          <w:szCs w:val="18"/>
        </w:rPr>
      </w:pPr>
    </w:p>
    <w:p w14:paraId="3B7785FC" w14:textId="77777777" w:rsidR="00993C74" w:rsidRPr="00993C74" w:rsidRDefault="00993C74" w:rsidP="00993C74">
      <w:pPr>
        <w:ind w:left="1440"/>
        <w:rPr>
          <w:rFonts w:ascii="Arial" w:hAnsi="Arial" w:cs="Arial"/>
          <w:sz w:val="18"/>
          <w:szCs w:val="18"/>
        </w:rPr>
      </w:pPr>
      <w:r w:rsidRPr="00993C74">
        <w:rPr>
          <w:rFonts w:ascii="Arial" w:hAnsi="Arial" w:cs="Arial"/>
          <w:sz w:val="18"/>
          <w:szCs w:val="18"/>
        </w:rPr>
        <w:t xml:space="preserve">Note: The purpose of promoting or opposing a change to any matter established by law, policy or practice in the Commonwealth, a State, a Territory or another country may be a charitable purpose (see paragraph (l) of the definition of charitable purpose in subsection 12(1)). </w:t>
      </w:r>
    </w:p>
    <w:p w14:paraId="44EAFD9C" w14:textId="77777777" w:rsidR="00993C74" w:rsidRDefault="00993C74" w:rsidP="00187DEC">
      <w:pPr>
        <w:spacing w:line="276" w:lineRule="auto"/>
        <w:rPr>
          <w:rFonts w:ascii="Arial" w:hAnsi="Arial" w:cs="Arial"/>
          <w:sz w:val="22"/>
          <w:szCs w:val="22"/>
        </w:rPr>
      </w:pPr>
    </w:p>
    <w:p w14:paraId="764B604F" w14:textId="100BC232" w:rsidR="0067728A" w:rsidRDefault="00E85AAD" w:rsidP="00187DEC">
      <w:pPr>
        <w:pStyle w:val="ListParagraph"/>
        <w:numPr>
          <w:ilvl w:val="0"/>
          <w:numId w:val="36"/>
        </w:numPr>
        <w:spacing w:line="276" w:lineRule="auto"/>
        <w:rPr>
          <w:rFonts w:ascii="Arial" w:hAnsi="Arial" w:cs="Arial"/>
          <w:sz w:val="22"/>
          <w:szCs w:val="22"/>
        </w:rPr>
      </w:pPr>
      <w:r>
        <w:rPr>
          <w:rFonts w:ascii="Arial" w:hAnsi="Arial" w:cs="Arial"/>
          <w:sz w:val="22"/>
          <w:szCs w:val="22"/>
        </w:rPr>
        <w:t>T</w:t>
      </w:r>
      <w:r w:rsidR="003B4B03">
        <w:rPr>
          <w:rFonts w:ascii="Arial" w:hAnsi="Arial" w:cs="Arial"/>
          <w:sz w:val="22"/>
          <w:szCs w:val="22"/>
        </w:rPr>
        <w:t xml:space="preserve">he Bill </w:t>
      </w:r>
      <w:r>
        <w:rPr>
          <w:rFonts w:ascii="Arial" w:hAnsi="Arial" w:cs="Arial"/>
          <w:sz w:val="22"/>
          <w:szCs w:val="22"/>
        </w:rPr>
        <w:t>will insert</w:t>
      </w:r>
      <w:r w:rsidR="003B4B03">
        <w:rPr>
          <w:rFonts w:ascii="Arial" w:hAnsi="Arial" w:cs="Arial"/>
          <w:sz w:val="22"/>
          <w:szCs w:val="22"/>
        </w:rPr>
        <w:t xml:space="preserve"> a new subsection into S11, to provide clarity that </w:t>
      </w:r>
      <w:r w:rsidR="0033239D">
        <w:rPr>
          <w:rFonts w:ascii="Arial" w:hAnsi="Arial" w:cs="Arial"/>
          <w:sz w:val="22"/>
          <w:szCs w:val="22"/>
        </w:rPr>
        <w:t xml:space="preserve">"the purpose of engaging in, or promoting, activities that support a view of marriage as a union of a man and woman to the exclusion of all others, voluntarily entered into for life, </w:t>
      </w:r>
      <w:r w:rsidR="003B4B03">
        <w:rPr>
          <w:rFonts w:ascii="Arial" w:hAnsi="Arial" w:cs="Arial"/>
          <w:sz w:val="22"/>
          <w:szCs w:val="22"/>
        </w:rPr>
        <w:t>is</w:t>
      </w:r>
      <w:r w:rsidR="0033239D">
        <w:rPr>
          <w:rFonts w:ascii="Arial" w:hAnsi="Arial" w:cs="Arial"/>
          <w:sz w:val="22"/>
          <w:szCs w:val="22"/>
        </w:rPr>
        <w:t xml:space="preserve"> not, of itself, a disqualifying purpose."</w:t>
      </w:r>
    </w:p>
    <w:p w14:paraId="642012CC" w14:textId="77777777" w:rsidR="007A5C1A" w:rsidRPr="007A5C1A" w:rsidRDefault="007A5C1A" w:rsidP="007A5C1A">
      <w:pPr>
        <w:pStyle w:val="ListParagraph"/>
        <w:numPr>
          <w:ilvl w:val="0"/>
          <w:numId w:val="36"/>
        </w:numPr>
        <w:spacing w:line="276" w:lineRule="auto"/>
        <w:rPr>
          <w:rFonts w:ascii="Arial" w:hAnsi="Arial" w:cs="Arial"/>
          <w:sz w:val="22"/>
          <w:szCs w:val="22"/>
        </w:rPr>
      </w:pPr>
      <w:r>
        <w:rPr>
          <w:rFonts w:ascii="Arial" w:hAnsi="Arial" w:cs="Arial"/>
          <w:sz w:val="22"/>
          <w:szCs w:val="22"/>
        </w:rPr>
        <w:lastRenderedPageBreak/>
        <w:t>The ACNC understands that this change is being proposed to address Recommendation 4 of the Religious Freedom Review</w:t>
      </w:r>
      <w:r>
        <w:rPr>
          <w:rFonts w:ascii="Arial" w:hAnsi="Arial" w:cs="Arial"/>
          <w:sz w:val="22"/>
          <w:szCs w:val="22"/>
          <w:lang w:val="en-AU"/>
        </w:rPr>
        <w:t xml:space="preserve"> to clarify that the advocacy of traditional views of marriage by charitable institutions will not disqualify the charitable institution from being a charity.</w:t>
      </w:r>
    </w:p>
    <w:p w14:paraId="0D276A00" w14:textId="041853D6" w:rsidR="1C267099" w:rsidRPr="00E85AAD" w:rsidRDefault="1C267099" w:rsidP="1C267099">
      <w:pPr>
        <w:pStyle w:val="ListParagraph"/>
        <w:numPr>
          <w:ilvl w:val="0"/>
          <w:numId w:val="36"/>
        </w:numPr>
        <w:spacing w:line="276" w:lineRule="auto"/>
        <w:rPr>
          <w:rFonts w:ascii="Arial" w:hAnsi="Arial" w:cs="Arial"/>
          <w:sz w:val="22"/>
          <w:szCs w:val="22"/>
        </w:rPr>
      </w:pPr>
      <w:r w:rsidRPr="1C267099">
        <w:rPr>
          <w:rFonts w:ascii="Arial" w:hAnsi="Arial" w:cs="Arial"/>
          <w:sz w:val="22"/>
          <w:szCs w:val="22"/>
        </w:rPr>
        <w:t>The ACNC notes that under the current Charities Act, such a purpose is already not a disqualifying purpose</w:t>
      </w:r>
      <w:r w:rsidR="00E85AAD">
        <w:rPr>
          <w:rFonts w:ascii="Arial" w:hAnsi="Arial" w:cs="Arial"/>
          <w:sz w:val="22"/>
          <w:szCs w:val="22"/>
        </w:rPr>
        <w:t xml:space="preserve"> in and of itself</w:t>
      </w:r>
      <w:r w:rsidRPr="00E85AAD">
        <w:rPr>
          <w:rFonts w:ascii="Arial" w:hAnsi="Arial" w:cs="Arial"/>
          <w:sz w:val="22"/>
          <w:szCs w:val="22"/>
        </w:rPr>
        <w:t>.</w:t>
      </w:r>
      <w:r w:rsidR="008A2E45" w:rsidRPr="00E85AAD">
        <w:rPr>
          <w:rStyle w:val="FootnoteReference"/>
          <w:rFonts w:ascii="Arial" w:hAnsi="Arial" w:cs="Arial"/>
          <w:sz w:val="22"/>
          <w:szCs w:val="22"/>
        </w:rPr>
        <w:footnoteReference w:id="2"/>
      </w:r>
      <w:r w:rsidRPr="00E85AAD">
        <w:rPr>
          <w:rFonts w:ascii="Arial" w:hAnsi="Arial" w:cs="Arial"/>
          <w:sz w:val="22"/>
          <w:szCs w:val="22"/>
        </w:rPr>
        <w:t xml:space="preserve"> </w:t>
      </w:r>
      <w:r w:rsidR="00E85AAD" w:rsidRPr="00E85AAD">
        <w:rPr>
          <w:rFonts w:ascii="Arial" w:hAnsi="Arial" w:cs="Arial"/>
          <w:sz w:val="22"/>
          <w:szCs w:val="22"/>
        </w:rPr>
        <w:t xml:space="preserve"> </w:t>
      </w:r>
    </w:p>
    <w:p w14:paraId="52A6A437" w14:textId="77777777" w:rsidR="0056335B" w:rsidRDefault="07C773C3" w:rsidP="07C773C3">
      <w:pPr>
        <w:pStyle w:val="ListParagraph"/>
        <w:numPr>
          <w:ilvl w:val="0"/>
          <w:numId w:val="36"/>
        </w:numPr>
        <w:spacing w:line="276" w:lineRule="auto"/>
        <w:rPr>
          <w:rFonts w:ascii="Arial" w:hAnsi="Arial" w:cs="Arial"/>
          <w:sz w:val="22"/>
          <w:szCs w:val="22"/>
        </w:rPr>
      </w:pPr>
      <w:r w:rsidRPr="07C773C3">
        <w:rPr>
          <w:rFonts w:ascii="Arial" w:hAnsi="Arial" w:cs="Arial"/>
          <w:sz w:val="22"/>
          <w:szCs w:val="22"/>
        </w:rPr>
        <w:t xml:space="preserve">The ACNC notes that such a change may set a precedent whereby any group desiring absolute clarity around what does or does not constitute a disqualifying purpose may </w:t>
      </w:r>
      <w:proofErr w:type="gramStart"/>
      <w:r w:rsidRPr="07C773C3">
        <w:rPr>
          <w:rFonts w:ascii="Arial" w:hAnsi="Arial" w:cs="Arial"/>
          <w:sz w:val="22"/>
          <w:szCs w:val="22"/>
        </w:rPr>
        <w:t>seek to have</w:t>
      </w:r>
      <w:proofErr w:type="gramEnd"/>
      <w:r w:rsidRPr="07C773C3">
        <w:rPr>
          <w:rFonts w:ascii="Arial" w:hAnsi="Arial" w:cs="Arial"/>
          <w:sz w:val="22"/>
          <w:szCs w:val="22"/>
        </w:rPr>
        <w:t xml:space="preserve"> a similar </w:t>
      </w:r>
      <w:proofErr w:type="spellStart"/>
      <w:r w:rsidRPr="07C773C3">
        <w:rPr>
          <w:rFonts w:ascii="Arial" w:hAnsi="Arial" w:cs="Arial"/>
          <w:sz w:val="22"/>
          <w:szCs w:val="22"/>
        </w:rPr>
        <w:t>subclause</w:t>
      </w:r>
      <w:proofErr w:type="spellEnd"/>
      <w:r w:rsidRPr="07C773C3">
        <w:rPr>
          <w:rFonts w:ascii="Arial" w:hAnsi="Arial" w:cs="Arial"/>
          <w:sz w:val="22"/>
          <w:szCs w:val="22"/>
        </w:rPr>
        <w:t xml:space="preserve"> inserted into the Charities Act. </w:t>
      </w:r>
    </w:p>
    <w:p w14:paraId="24E31C4A" w14:textId="2EAD8A7D" w:rsidR="007A5C1A" w:rsidRPr="00993C74" w:rsidRDefault="0056335B" w:rsidP="07C773C3">
      <w:pPr>
        <w:pStyle w:val="ListParagraph"/>
        <w:numPr>
          <w:ilvl w:val="0"/>
          <w:numId w:val="36"/>
        </w:numPr>
        <w:spacing w:line="276" w:lineRule="auto"/>
        <w:rPr>
          <w:rFonts w:ascii="Arial" w:hAnsi="Arial" w:cs="Arial"/>
          <w:sz w:val="22"/>
          <w:szCs w:val="22"/>
        </w:rPr>
      </w:pPr>
      <w:r w:rsidRPr="00E85AAD">
        <w:rPr>
          <w:rFonts w:ascii="Arial" w:hAnsi="Arial" w:cs="Arial"/>
          <w:sz w:val="22"/>
          <w:szCs w:val="22"/>
        </w:rPr>
        <w:t xml:space="preserve">Some charities conduct public advocacy when working towards achieving their charitable purposes.  A charity can promote or oppose a change to any matter of law, policy or practice, </w:t>
      </w:r>
      <w:proofErr w:type="gramStart"/>
      <w:r w:rsidRPr="00E85AAD">
        <w:rPr>
          <w:rFonts w:ascii="Arial" w:hAnsi="Arial" w:cs="Arial"/>
          <w:sz w:val="22"/>
          <w:szCs w:val="22"/>
        </w:rPr>
        <w:t>as long as</w:t>
      </w:r>
      <w:proofErr w:type="gramEnd"/>
      <w:r w:rsidRPr="00E85AAD">
        <w:rPr>
          <w:rFonts w:ascii="Arial" w:hAnsi="Arial" w:cs="Arial"/>
          <w:sz w:val="22"/>
          <w:szCs w:val="22"/>
        </w:rPr>
        <w:t xml:space="preserve"> this advocacy furthers or aids another charitable purpose.</w:t>
      </w:r>
    </w:p>
    <w:p w14:paraId="4B94D5A5" w14:textId="77777777" w:rsidR="00A02A67" w:rsidRDefault="00A02A67" w:rsidP="00187DEC">
      <w:pPr>
        <w:spacing w:line="276" w:lineRule="auto"/>
        <w:rPr>
          <w:rFonts w:ascii="Arial" w:hAnsi="Arial" w:cs="Arial"/>
          <w:sz w:val="22"/>
          <w:szCs w:val="22"/>
        </w:rPr>
      </w:pPr>
    </w:p>
    <w:p w14:paraId="595C66EE" w14:textId="77777777" w:rsidR="00993C74" w:rsidRPr="003961AB" w:rsidRDefault="00B7305E" w:rsidP="00187DEC">
      <w:pPr>
        <w:spacing w:line="276" w:lineRule="auto"/>
        <w:rPr>
          <w:rFonts w:ascii="Arial" w:hAnsi="Arial" w:cs="Arial"/>
          <w:b/>
          <w:sz w:val="22"/>
          <w:szCs w:val="22"/>
          <w:lang w:val="en-AU"/>
        </w:rPr>
      </w:pPr>
      <w:r>
        <w:rPr>
          <w:rFonts w:ascii="Arial" w:hAnsi="Arial" w:cs="Arial"/>
          <w:b/>
          <w:sz w:val="22"/>
          <w:szCs w:val="22"/>
        </w:rPr>
        <w:t>ACNC guidance</w:t>
      </w:r>
    </w:p>
    <w:p w14:paraId="3DEEC669" w14:textId="77777777" w:rsidR="00993C74" w:rsidRDefault="00993C74" w:rsidP="00187DEC">
      <w:pPr>
        <w:spacing w:line="276" w:lineRule="auto"/>
        <w:rPr>
          <w:rFonts w:ascii="Arial" w:hAnsi="Arial" w:cs="Arial"/>
          <w:sz w:val="22"/>
          <w:szCs w:val="22"/>
        </w:rPr>
      </w:pPr>
    </w:p>
    <w:p w14:paraId="02BB1AC3" w14:textId="30772596" w:rsidR="00993C74" w:rsidRDefault="07C773C3" w:rsidP="07C773C3">
      <w:pPr>
        <w:pStyle w:val="ListParagraph"/>
        <w:numPr>
          <w:ilvl w:val="0"/>
          <w:numId w:val="36"/>
        </w:numPr>
        <w:spacing w:line="276" w:lineRule="auto"/>
        <w:rPr>
          <w:rFonts w:ascii="Arial" w:hAnsi="Arial" w:cs="Arial"/>
          <w:sz w:val="22"/>
          <w:szCs w:val="22"/>
        </w:rPr>
      </w:pPr>
      <w:r w:rsidRPr="07C773C3">
        <w:rPr>
          <w:rFonts w:ascii="Arial" w:hAnsi="Arial" w:cs="Arial"/>
          <w:sz w:val="22"/>
          <w:szCs w:val="22"/>
        </w:rPr>
        <w:t xml:space="preserve">The ACNC has publicly available guidance </w:t>
      </w:r>
      <w:hyperlink r:id="rId11">
        <w:r w:rsidRPr="07C773C3">
          <w:rPr>
            <w:rStyle w:val="Hyperlink"/>
            <w:rFonts w:ascii="Arial" w:hAnsi="Arial" w:cs="Arial"/>
            <w:sz w:val="22"/>
            <w:szCs w:val="22"/>
          </w:rPr>
          <w:t>“Charity Advocacy”</w:t>
        </w:r>
      </w:hyperlink>
      <w:r w:rsidRPr="07C773C3">
        <w:rPr>
          <w:rFonts w:ascii="Arial" w:hAnsi="Arial" w:cs="Arial"/>
          <w:sz w:val="22"/>
          <w:szCs w:val="22"/>
        </w:rPr>
        <w:t xml:space="preserve"> which assists charities to understand the ways in which they can undertake advocacy activities while maintaining their obligations as a registered charity.  </w:t>
      </w:r>
    </w:p>
    <w:p w14:paraId="65E9AAA8" w14:textId="48503918" w:rsidR="00E85AAD" w:rsidRDefault="00E85AAD" w:rsidP="07C773C3">
      <w:pPr>
        <w:pStyle w:val="ListParagraph"/>
        <w:numPr>
          <w:ilvl w:val="0"/>
          <w:numId w:val="36"/>
        </w:numPr>
        <w:spacing w:line="276" w:lineRule="auto"/>
        <w:rPr>
          <w:rFonts w:ascii="Arial" w:hAnsi="Arial" w:cs="Arial"/>
          <w:sz w:val="22"/>
          <w:szCs w:val="22"/>
        </w:rPr>
      </w:pPr>
      <w:r>
        <w:rPr>
          <w:rFonts w:ascii="Arial" w:hAnsi="Arial" w:cs="Arial"/>
          <w:sz w:val="22"/>
          <w:szCs w:val="22"/>
        </w:rPr>
        <w:t>This guidance provides clarity that, as stated in paragraph 1</w:t>
      </w:r>
      <w:r w:rsidR="0056335B">
        <w:rPr>
          <w:rFonts w:ascii="Arial" w:hAnsi="Arial" w:cs="Arial"/>
          <w:sz w:val="22"/>
          <w:szCs w:val="22"/>
        </w:rPr>
        <w:t>4</w:t>
      </w:r>
      <w:r>
        <w:rPr>
          <w:rFonts w:ascii="Arial" w:hAnsi="Arial" w:cs="Arial"/>
          <w:sz w:val="22"/>
          <w:szCs w:val="22"/>
        </w:rPr>
        <w:t xml:space="preserve"> above, a charity can promote or oppose a change to any manner of law, policy or practice in furtherance or aid of another charitable purpose.  The law, policy or practice being promoted or opposed can be anywhere in Australia or overseas.</w:t>
      </w:r>
    </w:p>
    <w:p w14:paraId="5FC6262D" w14:textId="11963CFC" w:rsidR="00E85AAD" w:rsidRDefault="00E85AAD" w:rsidP="07C773C3">
      <w:pPr>
        <w:pStyle w:val="ListParagraph"/>
        <w:numPr>
          <w:ilvl w:val="0"/>
          <w:numId w:val="36"/>
        </w:numPr>
        <w:spacing w:line="276" w:lineRule="auto"/>
        <w:rPr>
          <w:rFonts w:ascii="Arial" w:hAnsi="Arial" w:cs="Arial"/>
          <w:sz w:val="22"/>
          <w:szCs w:val="22"/>
        </w:rPr>
      </w:pPr>
      <w:r>
        <w:rPr>
          <w:rFonts w:ascii="Arial" w:hAnsi="Arial" w:cs="Arial"/>
          <w:sz w:val="22"/>
          <w:szCs w:val="22"/>
        </w:rPr>
        <w:t>The guidance goes on to state:</w:t>
      </w:r>
    </w:p>
    <w:p w14:paraId="036D13DC" w14:textId="77777777" w:rsidR="00DB3C25" w:rsidRPr="00DB3C25" w:rsidRDefault="00DB3C25" w:rsidP="00DB3C25">
      <w:pPr>
        <w:pStyle w:val="CommentText"/>
        <w:ind w:left="720"/>
        <w:rPr>
          <w:rFonts w:asciiTheme="minorHAnsi" w:hAnsiTheme="minorHAnsi" w:cstheme="minorHAnsi"/>
        </w:rPr>
      </w:pPr>
      <w:r w:rsidRPr="00DB3C25">
        <w:rPr>
          <w:rFonts w:asciiTheme="minorHAnsi" w:hAnsiTheme="minorHAnsi" w:cstheme="minorHAnsi"/>
        </w:rPr>
        <w:t>Advocacy must further or aid another charitable purpose. However, your charity does not need to be eligible for, or registered as having, another charitable purpose to undertake advocacy in relation to that purpose.</w:t>
      </w:r>
    </w:p>
    <w:p w14:paraId="6987D2FB" w14:textId="16B1D543" w:rsidR="00DB3C25" w:rsidRPr="00DB3C25" w:rsidRDefault="00DB3C25" w:rsidP="00DB3C25">
      <w:pPr>
        <w:pStyle w:val="CommentText"/>
        <w:ind w:left="360"/>
        <w:rPr>
          <w:rFonts w:asciiTheme="minorHAnsi" w:hAnsiTheme="minorHAnsi" w:cstheme="minorHAnsi"/>
        </w:rPr>
      </w:pPr>
      <w:r w:rsidRPr="00DB3C25">
        <w:rPr>
          <w:rFonts w:asciiTheme="minorHAnsi" w:hAnsiTheme="minorHAnsi" w:cstheme="minorHAnsi"/>
        </w:rPr>
        <w:tab/>
      </w:r>
    </w:p>
    <w:p w14:paraId="0A9FA270" w14:textId="5ABCE8D9" w:rsidR="00DB3C25" w:rsidRPr="00DB3C25" w:rsidRDefault="00DB3C25" w:rsidP="00DB3C25">
      <w:pPr>
        <w:pStyle w:val="CommentText"/>
        <w:ind w:left="720"/>
        <w:rPr>
          <w:rFonts w:asciiTheme="minorHAnsi" w:hAnsiTheme="minorHAnsi" w:cstheme="minorHAnsi"/>
        </w:rPr>
      </w:pPr>
      <w:r w:rsidRPr="00DB3C25">
        <w:rPr>
          <w:rFonts w:asciiTheme="minorHAnsi" w:hAnsiTheme="minorHAnsi" w:cstheme="minorHAnsi"/>
        </w:rPr>
        <w:t>The public benefit of advocacy is its contribution to public discussion, which informs the public and policy-makers. But the way a charity undertakes advocacy, and its aims,</w:t>
      </w:r>
      <w:r>
        <w:rPr>
          <w:rFonts w:asciiTheme="minorHAnsi" w:hAnsiTheme="minorHAnsi" w:cstheme="minorHAnsi"/>
        </w:rPr>
        <w:t xml:space="preserve"> </w:t>
      </w:r>
      <w:r w:rsidRPr="00DB3C25">
        <w:rPr>
          <w:rFonts w:asciiTheme="minorHAnsi" w:hAnsiTheme="minorHAnsi" w:cstheme="minorHAnsi"/>
        </w:rPr>
        <w:t>must be consistent</w:t>
      </w:r>
      <w:r>
        <w:rPr>
          <w:rFonts w:asciiTheme="minorHAnsi" w:hAnsiTheme="minorHAnsi" w:cstheme="minorHAnsi"/>
        </w:rPr>
        <w:t xml:space="preserve"> </w:t>
      </w:r>
      <w:r w:rsidRPr="00DB3C25">
        <w:rPr>
          <w:rFonts w:asciiTheme="minorHAnsi" w:hAnsiTheme="minorHAnsi" w:cstheme="minorHAnsi"/>
        </w:rPr>
        <w:t>with the rule of law and the established system of government.</w:t>
      </w:r>
    </w:p>
    <w:p w14:paraId="4F695369" w14:textId="77777777" w:rsidR="00DB3C25" w:rsidRPr="00DB3C25" w:rsidRDefault="00DB3C25" w:rsidP="00DB3C25">
      <w:pPr>
        <w:pStyle w:val="CommentText"/>
        <w:ind w:left="360" w:firstLine="360"/>
        <w:rPr>
          <w:rFonts w:asciiTheme="minorHAnsi" w:hAnsiTheme="minorHAnsi" w:cstheme="minorHAnsi"/>
        </w:rPr>
      </w:pPr>
    </w:p>
    <w:p w14:paraId="2927490D" w14:textId="1AB5E6F0" w:rsidR="00DB3C25" w:rsidRPr="00DB3C25" w:rsidRDefault="00DB3C25" w:rsidP="00DB3C25">
      <w:pPr>
        <w:pStyle w:val="CommentText"/>
        <w:ind w:left="720"/>
        <w:rPr>
          <w:rFonts w:asciiTheme="minorHAnsi" w:hAnsiTheme="minorHAnsi" w:cstheme="minorHAnsi"/>
        </w:rPr>
      </w:pPr>
      <w:r w:rsidRPr="00DB3C25">
        <w:rPr>
          <w:rFonts w:asciiTheme="minorHAnsi" w:hAnsiTheme="minorHAnsi" w:cstheme="minorHAnsi"/>
        </w:rPr>
        <w:t xml:space="preserve">Charities must operate for public benefit, rather than the private benefit of Responsible Persons or members. If advocacy activities are directed at the </w:t>
      </w:r>
      <w:proofErr w:type="gramStart"/>
      <w:r w:rsidRPr="00DB3C25">
        <w:rPr>
          <w:rFonts w:asciiTheme="minorHAnsi" w:hAnsiTheme="minorHAnsi" w:cstheme="minorHAnsi"/>
        </w:rPr>
        <w:t>general public</w:t>
      </w:r>
      <w:proofErr w:type="gramEnd"/>
      <w:r w:rsidRPr="00DB3C25">
        <w:rPr>
          <w:rFonts w:asciiTheme="minorHAnsi" w:hAnsiTheme="minorHAnsi" w:cstheme="minorHAnsi"/>
        </w:rPr>
        <w:t>, there is likely ‘public’ benefit, even if very few people directly benefit from that advocacy.</w:t>
      </w:r>
    </w:p>
    <w:p w14:paraId="4BAE589A" w14:textId="4918F607" w:rsidR="00E85AAD" w:rsidRDefault="00E85AAD" w:rsidP="00E85AAD">
      <w:pPr>
        <w:pStyle w:val="ListParagraph"/>
        <w:spacing w:line="276" w:lineRule="auto"/>
        <w:rPr>
          <w:rFonts w:ascii="Arial" w:hAnsi="Arial" w:cs="Arial"/>
          <w:sz w:val="22"/>
          <w:szCs w:val="22"/>
        </w:rPr>
      </w:pPr>
    </w:p>
    <w:p w14:paraId="3656B9AB" w14:textId="22168563" w:rsidR="00E26123" w:rsidRDefault="00DB3C25" w:rsidP="00DB3C25">
      <w:pPr>
        <w:pStyle w:val="ListParagraph"/>
        <w:numPr>
          <w:ilvl w:val="0"/>
          <w:numId w:val="36"/>
        </w:numPr>
        <w:spacing w:line="276" w:lineRule="auto"/>
        <w:rPr>
          <w:rFonts w:ascii="Arial" w:hAnsi="Arial" w:cs="Arial"/>
          <w:sz w:val="22"/>
          <w:szCs w:val="22"/>
        </w:rPr>
      </w:pPr>
      <w:r>
        <w:rPr>
          <w:rFonts w:ascii="Arial" w:hAnsi="Arial" w:cs="Arial"/>
          <w:sz w:val="22"/>
          <w:szCs w:val="22"/>
        </w:rPr>
        <w:t>It is the view of the ACNC that legislative change is not necessary to achieve the aim the change is seeking.  If, however, there is uncertainty in the sector, the ACNC is willing and able to issue guidance that will clarify the operation of the law.</w:t>
      </w:r>
    </w:p>
    <w:p w14:paraId="5C5552DE" w14:textId="5E9AE8AD" w:rsidR="00DB3C25" w:rsidRPr="00DB3C25" w:rsidRDefault="00DB3C25" w:rsidP="00DB3C25">
      <w:pPr>
        <w:pStyle w:val="ListParagraph"/>
        <w:numPr>
          <w:ilvl w:val="0"/>
          <w:numId w:val="36"/>
        </w:numPr>
        <w:spacing w:line="276" w:lineRule="auto"/>
        <w:rPr>
          <w:rFonts w:ascii="Arial" w:hAnsi="Arial" w:cs="Arial"/>
          <w:sz w:val="22"/>
          <w:szCs w:val="22"/>
        </w:rPr>
      </w:pPr>
      <w:r>
        <w:rPr>
          <w:rFonts w:ascii="Arial" w:hAnsi="Arial" w:cs="Arial"/>
          <w:sz w:val="22"/>
          <w:szCs w:val="22"/>
        </w:rPr>
        <w:t>If the existing guidance referenced above is deemed insufficient to provide the required level of certainty, the ACNC can issue separate guidance.</w:t>
      </w:r>
    </w:p>
    <w:p w14:paraId="3AA6D9F0" w14:textId="77777777" w:rsidR="00DB3C25" w:rsidRPr="00E26123" w:rsidRDefault="00DB3C25" w:rsidP="00187DEC">
      <w:pPr>
        <w:spacing w:line="276" w:lineRule="auto"/>
        <w:rPr>
          <w:rFonts w:ascii="Arial" w:hAnsi="Arial" w:cs="Arial"/>
          <w:sz w:val="22"/>
          <w:szCs w:val="22"/>
        </w:rPr>
      </w:pPr>
    </w:p>
    <w:p w14:paraId="68E2CD13" w14:textId="77777777" w:rsidR="0056335B" w:rsidRDefault="0056335B">
      <w:pPr>
        <w:rPr>
          <w:rFonts w:ascii="Arial" w:hAnsi="Arial" w:cs="Arial"/>
          <w:b/>
          <w:sz w:val="22"/>
          <w:szCs w:val="22"/>
        </w:rPr>
      </w:pPr>
      <w:r>
        <w:rPr>
          <w:rFonts w:ascii="Arial" w:hAnsi="Arial" w:cs="Arial"/>
          <w:b/>
          <w:sz w:val="22"/>
          <w:szCs w:val="22"/>
        </w:rPr>
        <w:br w:type="page"/>
      </w:r>
    </w:p>
    <w:p w14:paraId="57E27F7E" w14:textId="48AB2622" w:rsidR="002E7472" w:rsidRPr="002E7472" w:rsidRDefault="002E7472" w:rsidP="00187DEC">
      <w:pPr>
        <w:spacing w:line="276" w:lineRule="auto"/>
        <w:rPr>
          <w:rFonts w:ascii="Arial" w:hAnsi="Arial" w:cs="Arial"/>
          <w:b/>
          <w:sz w:val="22"/>
          <w:szCs w:val="22"/>
        </w:rPr>
      </w:pPr>
      <w:r w:rsidRPr="002E7472">
        <w:rPr>
          <w:rFonts w:ascii="Arial" w:hAnsi="Arial" w:cs="Arial"/>
          <w:b/>
          <w:sz w:val="22"/>
          <w:szCs w:val="22"/>
        </w:rPr>
        <w:lastRenderedPageBreak/>
        <w:t>Further information</w:t>
      </w:r>
    </w:p>
    <w:p w14:paraId="45FB0818" w14:textId="77777777" w:rsidR="002E7472" w:rsidRDefault="002E7472" w:rsidP="00187DEC">
      <w:pPr>
        <w:spacing w:line="276" w:lineRule="auto"/>
        <w:rPr>
          <w:rFonts w:ascii="Arial" w:hAnsi="Arial" w:cs="Arial"/>
          <w:sz w:val="22"/>
          <w:szCs w:val="22"/>
        </w:rPr>
      </w:pPr>
    </w:p>
    <w:p w14:paraId="6E32B4BB" w14:textId="77777777" w:rsidR="002E7472" w:rsidRDefault="1C267099" w:rsidP="00187DEC">
      <w:pPr>
        <w:pStyle w:val="ListParagraph"/>
        <w:numPr>
          <w:ilvl w:val="0"/>
          <w:numId w:val="36"/>
        </w:numPr>
        <w:spacing w:line="276" w:lineRule="auto"/>
        <w:rPr>
          <w:rFonts w:ascii="Arial" w:hAnsi="Arial" w:cs="Arial"/>
          <w:sz w:val="22"/>
          <w:szCs w:val="22"/>
        </w:rPr>
      </w:pPr>
      <w:r w:rsidRPr="1C267099">
        <w:rPr>
          <w:rFonts w:ascii="Arial" w:hAnsi="Arial" w:cs="Arial"/>
          <w:sz w:val="22"/>
          <w:szCs w:val="22"/>
        </w:rPr>
        <w:t>The ACNC can provide further information should this be useful to the Committee. Contact information is provided below:</w:t>
      </w:r>
    </w:p>
    <w:p w14:paraId="049F31CB" w14:textId="77777777" w:rsidR="002E7472" w:rsidRDefault="002E7472" w:rsidP="00187DEC">
      <w:pPr>
        <w:pStyle w:val="ListParagraph"/>
        <w:spacing w:line="276" w:lineRule="auto"/>
        <w:rPr>
          <w:rFonts w:ascii="Arial" w:hAnsi="Arial" w:cs="Arial"/>
          <w:sz w:val="22"/>
          <w:szCs w:val="22"/>
        </w:rPr>
      </w:pPr>
    </w:p>
    <w:p w14:paraId="05A3B69F" w14:textId="77777777" w:rsidR="002E7472" w:rsidRDefault="002E7472" w:rsidP="00187DEC">
      <w:pPr>
        <w:pStyle w:val="ListParagraph"/>
        <w:spacing w:line="276" w:lineRule="auto"/>
        <w:rPr>
          <w:rFonts w:ascii="Arial" w:hAnsi="Arial" w:cs="Arial"/>
          <w:sz w:val="22"/>
          <w:szCs w:val="22"/>
        </w:rPr>
      </w:pPr>
      <w:r>
        <w:rPr>
          <w:rFonts w:ascii="Arial" w:hAnsi="Arial" w:cs="Arial"/>
          <w:sz w:val="22"/>
          <w:szCs w:val="22"/>
        </w:rPr>
        <w:t>Natashia Allitt, Policy Manager</w:t>
      </w:r>
    </w:p>
    <w:p w14:paraId="4835D417" w14:textId="77777777" w:rsidR="002E7472" w:rsidRDefault="0035154E" w:rsidP="00187DEC">
      <w:pPr>
        <w:pStyle w:val="ListParagraph"/>
        <w:spacing w:line="276" w:lineRule="auto"/>
        <w:rPr>
          <w:rFonts w:ascii="Arial" w:hAnsi="Arial" w:cs="Arial"/>
          <w:sz w:val="22"/>
          <w:szCs w:val="22"/>
        </w:rPr>
      </w:pPr>
      <w:hyperlink r:id="rId12" w:history="1">
        <w:r w:rsidR="002E7472" w:rsidRPr="00A8162C">
          <w:rPr>
            <w:rStyle w:val="Hyperlink"/>
            <w:rFonts w:ascii="Arial" w:hAnsi="Arial" w:cs="Arial"/>
            <w:sz w:val="22"/>
            <w:szCs w:val="22"/>
          </w:rPr>
          <w:t>Policy@acnc.gov.au</w:t>
        </w:r>
      </w:hyperlink>
    </w:p>
    <w:p w14:paraId="53128261" w14:textId="77777777" w:rsidR="002E7472" w:rsidRDefault="002E7472" w:rsidP="00187DEC">
      <w:pPr>
        <w:spacing w:line="276" w:lineRule="auto"/>
        <w:rPr>
          <w:rFonts w:ascii="Arial" w:hAnsi="Arial" w:cs="Arial"/>
          <w:sz w:val="22"/>
          <w:szCs w:val="22"/>
        </w:rPr>
      </w:pPr>
    </w:p>
    <w:p w14:paraId="5CF11C59" w14:textId="77777777" w:rsidR="00D77796" w:rsidRPr="00825584" w:rsidRDefault="00D77796" w:rsidP="00D77796">
      <w:pPr>
        <w:rPr>
          <w:rFonts w:ascii="Arial" w:hAnsi="Arial" w:cs="Arial"/>
          <w:sz w:val="22"/>
          <w:szCs w:val="22"/>
        </w:rPr>
      </w:pPr>
      <w:r w:rsidRPr="00825584">
        <w:rPr>
          <w:rFonts w:ascii="Arial" w:hAnsi="Arial" w:cs="Arial"/>
          <w:sz w:val="22"/>
          <w:szCs w:val="22"/>
        </w:rPr>
        <w:t>Sincerely,</w:t>
      </w:r>
    </w:p>
    <w:p w14:paraId="62486C05" w14:textId="77777777" w:rsidR="00481C89" w:rsidRDefault="00481C89" w:rsidP="00D77796">
      <w:pPr>
        <w:rPr>
          <w:rFonts w:ascii="Arial" w:hAnsi="Arial" w:cs="Arial"/>
          <w:sz w:val="22"/>
          <w:szCs w:val="22"/>
        </w:rPr>
      </w:pPr>
    </w:p>
    <w:p w14:paraId="4101652C" w14:textId="77777777" w:rsidR="00E42B42" w:rsidRDefault="00E42B42" w:rsidP="00D77796">
      <w:pPr>
        <w:rPr>
          <w:rFonts w:ascii="Arial" w:hAnsi="Arial" w:cs="Arial"/>
          <w:sz w:val="22"/>
          <w:szCs w:val="22"/>
        </w:rPr>
      </w:pPr>
    </w:p>
    <w:p w14:paraId="4B99056E" w14:textId="77777777" w:rsidR="00E42B42" w:rsidRPr="00825584" w:rsidRDefault="00E42B42" w:rsidP="00D77796">
      <w:pPr>
        <w:rPr>
          <w:rFonts w:ascii="Arial" w:hAnsi="Arial" w:cs="Arial"/>
          <w:sz w:val="22"/>
          <w:szCs w:val="22"/>
        </w:rPr>
      </w:pPr>
    </w:p>
    <w:p w14:paraId="1299C43A" w14:textId="77777777" w:rsidR="0096569E" w:rsidRPr="00825584" w:rsidRDefault="0096569E" w:rsidP="00D77796">
      <w:pPr>
        <w:rPr>
          <w:rFonts w:ascii="Arial" w:hAnsi="Arial" w:cs="Arial"/>
          <w:sz w:val="22"/>
          <w:szCs w:val="22"/>
        </w:rPr>
      </w:pPr>
    </w:p>
    <w:p w14:paraId="7A200017" w14:textId="77777777" w:rsidR="00093D8E" w:rsidRPr="00825584" w:rsidRDefault="002E7472" w:rsidP="00093D8E">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iCs/>
          <w:sz w:val="22"/>
          <w:szCs w:val="22"/>
        </w:rPr>
        <w:t>The Hon Dr Gary Johns</w:t>
      </w:r>
    </w:p>
    <w:p w14:paraId="447889B7" w14:textId="77777777" w:rsidR="002E7472" w:rsidRDefault="002E7472" w:rsidP="00093D8E">
      <w:pPr>
        <w:pStyle w:val="paragraph"/>
        <w:spacing w:before="0" w:beforeAutospacing="0" w:after="0" w:afterAutospacing="0"/>
        <w:textAlignment w:val="baseline"/>
        <w:rPr>
          <w:rStyle w:val="normaltextrun"/>
          <w:rFonts w:ascii="Arial" w:hAnsi="Arial" w:cs="Arial"/>
          <w:iCs/>
          <w:sz w:val="22"/>
          <w:szCs w:val="22"/>
        </w:rPr>
      </w:pPr>
      <w:r>
        <w:rPr>
          <w:rStyle w:val="normaltextrun"/>
          <w:rFonts w:ascii="Arial" w:hAnsi="Arial" w:cs="Arial"/>
          <w:iCs/>
          <w:sz w:val="22"/>
          <w:szCs w:val="22"/>
        </w:rPr>
        <w:t>Commissioner</w:t>
      </w:r>
    </w:p>
    <w:p w14:paraId="40A3CEF7" w14:textId="77777777" w:rsidR="00093D8E" w:rsidRPr="00825584" w:rsidRDefault="00093D8E" w:rsidP="00093D8E">
      <w:pPr>
        <w:pStyle w:val="paragraph"/>
        <w:spacing w:before="0" w:beforeAutospacing="0" w:after="0" w:afterAutospacing="0"/>
        <w:textAlignment w:val="baseline"/>
        <w:rPr>
          <w:rFonts w:ascii="Arial" w:hAnsi="Arial" w:cs="Arial"/>
          <w:sz w:val="22"/>
          <w:szCs w:val="22"/>
        </w:rPr>
      </w:pPr>
      <w:r w:rsidRPr="00825584">
        <w:rPr>
          <w:rStyle w:val="normaltextrun"/>
          <w:rFonts w:ascii="Arial" w:hAnsi="Arial" w:cs="Arial"/>
          <w:iCs/>
          <w:sz w:val="22"/>
          <w:szCs w:val="22"/>
        </w:rPr>
        <w:t>Australian Charities and Not-for-profits Commission</w:t>
      </w:r>
      <w:r w:rsidRPr="00825584">
        <w:rPr>
          <w:rStyle w:val="eop"/>
          <w:rFonts w:ascii="Arial" w:hAnsi="Arial" w:cs="Arial"/>
          <w:sz w:val="22"/>
          <w:szCs w:val="22"/>
        </w:rPr>
        <w:t> </w:t>
      </w:r>
    </w:p>
    <w:p w14:paraId="4DDBEF00" w14:textId="77777777" w:rsidR="00DE433D" w:rsidRPr="00825584" w:rsidRDefault="00DE433D" w:rsidP="00D77796">
      <w:pPr>
        <w:rPr>
          <w:rFonts w:ascii="Arial" w:hAnsi="Arial" w:cs="Arial"/>
          <w:sz w:val="22"/>
          <w:szCs w:val="22"/>
        </w:rPr>
      </w:pPr>
    </w:p>
    <w:sectPr w:rsidR="00DE433D" w:rsidRPr="00825584" w:rsidSect="00D56713">
      <w:headerReference w:type="default" r:id="rId13"/>
      <w:footerReference w:type="default" r:id="rId14"/>
      <w:headerReference w:type="first" r:id="rId15"/>
      <w:footerReference w:type="first" r:id="rId16"/>
      <w:pgSz w:w="11900" w:h="16840"/>
      <w:pgMar w:top="2041" w:right="1247" w:bottom="2041" w:left="1247" w:header="283"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CC1D" w14:textId="77777777" w:rsidR="00B14290" w:rsidRDefault="00B14290">
      <w:r>
        <w:separator/>
      </w:r>
    </w:p>
  </w:endnote>
  <w:endnote w:type="continuationSeparator" w:id="0">
    <w:p w14:paraId="110FFD37" w14:textId="77777777" w:rsidR="00B14290" w:rsidRDefault="00B1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EBFA" w14:textId="77777777" w:rsidR="00FF0500" w:rsidRDefault="004776DF">
    <w:pPr>
      <w:pStyle w:val="Footer"/>
    </w:pPr>
    <w:r>
      <w:rPr>
        <w:noProof/>
        <w:lang w:val="en-AU"/>
      </w:rPr>
      <w:drawing>
        <wp:anchor distT="0" distB="0" distL="114300" distR="114300" simplePos="0" relativeHeight="251659776" behindDoc="0" locked="0" layoutInCell="1" allowOverlap="1" wp14:anchorId="5BB4AE59" wp14:editId="07777777">
          <wp:simplePos x="0" y="0"/>
          <wp:positionH relativeFrom="column">
            <wp:posOffset>4217670</wp:posOffset>
          </wp:positionH>
          <wp:positionV relativeFrom="paragraph">
            <wp:posOffset>-18415</wp:posOffset>
          </wp:positionV>
          <wp:extent cx="2258695" cy="645795"/>
          <wp:effectExtent l="0" t="0" r="0" b="0"/>
          <wp:wrapTight wrapText="bothSides">
            <wp:wrapPolygon edited="0">
              <wp:start x="0" y="0"/>
              <wp:lineTo x="0" y="21027"/>
              <wp:lineTo x="21497" y="21027"/>
              <wp:lineTo x="21497" y="0"/>
              <wp:lineTo x="0" y="0"/>
            </wp:wrapPolygon>
          </wp:wrapTight>
          <wp:docPr id="16" name="Picture 16" descr="footer_address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er_address_200dpi_3.png"/>
                  <pic:cNvPicPr>
                    <a:picLocks noChangeAspect="1" noChangeArrowheads="1"/>
                  </pic:cNvPicPr>
                </pic:nvPicPr>
                <pic:blipFill>
                  <a:blip r:embed="rId1">
                    <a:extLst>
                      <a:ext uri="{28A0092B-C50C-407E-A947-70E740481C1C}">
                        <a14:useLocalDpi xmlns:a14="http://schemas.microsoft.com/office/drawing/2010/main" val="0"/>
                      </a:ext>
                    </a:extLst>
                  </a:blip>
                  <a:srcRect t="30878"/>
                  <a:stretch>
                    <a:fillRect/>
                  </a:stretch>
                </pic:blipFill>
                <pic:spPr bwMode="auto">
                  <a:xfrm>
                    <a:off x="0" y="0"/>
                    <a:ext cx="2258695" cy="64579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085D7" w14:textId="77777777" w:rsidR="00FF0500" w:rsidRDefault="002D0235">
    <w:pPr>
      <w:pStyle w:val="Footer"/>
    </w:pPr>
    <w:r>
      <w:rPr>
        <w:noProof/>
        <w:lang w:val="en-AU"/>
      </w:rPr>
      <w:drawing>
        <wp:anchor distT="0" distB="0" distL="114300" distR="114300" simplePos="0" relativeHeight="251658752" behindDoc="0" locked="0" layoutInCell="1" allowOverlap="1" wp14:anchorId="4867774B" wp14:editId="07777777">
          <wp:simplePos x="0" y="0"/>
          <wp:positionH relativeFrom="column">
            <wp:posOffset>4483100</wp:posOffset>
          </wp:positionH>
          <wp:positionV relativeFrom="paragraph">
            <wp:posOffset>-320463</wp:posOffset>
          </wp:positionV>
          <wp:extent cx="2258695" cy="934720"/>
          <wp:effectExtent l="0" t="0" r="8255" b="0"/>
          <wp:wrapNone/>
          <wp:docPr id="19" name="Picture 19" descr="footer_address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ter_address_200dpi_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695" cy="934720"/>
                  </a:xfrm>
                  <a:prstGeom prst="rect">
                    <a:avLst/>
                  </a:prstGeom>
                  <a:noFill/>
                  <a:ln>
                    <a:noFill/>
                  </a:ln>
                </pic:spPr>
              </pic:pic>
            </a:graphicData>
          </a:graphic>
        </wp:anchor>
      </w:drawing>
    </w:r>
    <w:r w:rsidR="004776DF">
      <w:rPr>
        <w:noProof/>
        <w:lang w:val="en-AU"/>
      </w:rPr>
      <w:drawing>
        <wp:anchor distT="0" distB="0" distL="114300" distR="114300" simplePos="0" relativeHeight="251656704" behindDoc="0" locked="0" layoutInCell="1" allowOverlap="1" wp14:anchorId="0AD353C7" wp14:editId="07777777">
          <wp:simplePos x="0" y="0"/>
          <wp:positionH relativeFrom="column">
            <wp:posOffset>-777875</wp:posOffset>
          </wp:positionH>
          <wp:positionV relativeFrom="paragraph">
            <wp:posOffset>-1272117</wp:posOffset>
          </wp:positionV>
          <wp:extent cx="1981200" cy="1879600"/>
          <wp:effectExtent l="0" t="0" r="0" b="6350"/>
          <wp:wrapNone/>
          <wp:docPr id="20" name="Picture 20" descr="footer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_200dpi_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8796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99379" w14:textId="77777777" w:rsidR="00B14290" w:rsidRDefault="00B14290">
      <w:r>
        <w:separator/>
      </w:r>
    </w:p>
  </w:footnote>
  <w:footnote w:type="continuationSeparator" w:id="0">
    <w:p w14:paraId="3FE9F23F" w14:textId="77777777" w:rsidR="00B14290" w:rsidRDefault="00B14290">
      <w:r>
        <w:continuationSeparator/>
      </w:r>
    </w:p>
  </w:footnote>
  <w:footnote w:id="1">
    <w:p w14:paraId="6E889FAA" w14:textId="16910F60" w:rsidR="00612269" w:rsidRPr="002C5C73" w:rsidRDefault="00612269">
      <w:pPr>
        <w:pStyle w:val="FootnoteText"/>
        <w:rPr>
          <w:rFonts w:asciiTheme="minorHAnsi" w:hAnsiTheme="minorHAnsi" w:cstheme="minorHAnsi"/>
          <w:lang w:val="en-AU"/>
        </w:rPr>
      </w:pPr>
      <w:r w:rsidRPr="002C5C73">
        <w:rPr>
          <w:rStyle w:val="FootnoteReference"/>
          <w:rFonts w:asciiTheme="minorHAnsi" w:hAnsiTheme="minorHAnsi" w:cstheme="minorHAnsi"/>
        </w:rPr>
        <w:footnoteRef/>
      </w:r>
      <w:r w:rsidRPr="002C5C73">
        <w:rPr>
          <w:rFonts w:asciiTheme="minorHAnsi" w:hAnsiTheme="minorHAnsi" w:cstheme="minorHAnsi"/>
        </w:rPr>
        <w:t xml:space="preserve"> </w:t>
      </w:r>
      <w:r w:rsidRPr="002C5C73">
        <w:rPr>
          <w:rFonts w:asciiTheme="minorHAnsi" w:hAnsiTheme="minorHAnsi" w:cstheme="minorHAnsi"/>
          <w:lang w:val="en-AU"/>
        </w:rPr>
        <w:t xml:space="preserve">As at 15 </w:t>
      </w:r>
      <w:r w:rsidR="00A72381" w:rsidRPr="002C5C73">
        <w:rPr>
          <w:rFonts w:asciiTheme="minorHAnsi" w:hAnsiTheme="minorHAnsi" w:cstheme="minorHAnsi"/>
          <w:lang w:val="en-AU"/>
        </w:rPr>
        <w:t xml:space="preserve">September </w:t>
      </w:r>
      <w:r w:rsidRPr="002C5C73">
        <w:rPr>
          <w:rFonts w:asciiTheme="minorHAnsi" w:hAnsiTheme="minorHAnsi" w:cstheme="minorHAnsi"/>
          <w:lang w:val="en-AU"/>
        </w:rPr>
        <w:t>2019.  See acnc.gov.au for the most current figure for registered charities.</w:t>
      </w:r>
    </w:p>
  </w:footnote>
  <w:footnote w:id="2">
    <w:p w14:paraId="6B1FE17C" w14:textId="6E0D3039" w:rsidR="008A2E45" w:rsidRPr="004E3F59" w:rsidRDefault="008A2E45">
      <w:pPr>
        <w:pStyle w:val="FootnoteText"/>
        <w:rPr>
          <w:rFonts w:asciiTheme="minorHAnsi" w:hAnsiTheme="minorHAnsi" w:cstheme="minorHAnsi"/>
          <w:lang w:val="en-AU"/>
        </w:rPr>
      </w:pPr>
      <w:r w:rsidRPr="004E3F59">
        <w:rPr>
          <w:rStyle w:val="FootnoteReference"/>
          <w:rFonts w:asciiTheme="minorHAnsi" w:hAnsiTheme="minorHAnsi" w:cstheme="minorHAnsi"/>
        </w:rPr>
        <w:footnoteRef/>
      </w:r>
      <w:r w:rsidR="00E85AAD">
        <w:rPr>
          <w:rFonts w:asciiTheme="minorHAnsi" w:hAnsiTheme="minorHAnsi" w:cstheme="minorHAnsi"/>
          <w:lang w:val="en-AU"/>
        </w:rPr>
        <w:t>Noting that while</w:t>
      </w:r>
      <w:r w:rsidR="004E3F59" w:rsidRPr="004E3F59">
        <w:rPr>
          <w:rFonts w:asciiTheme="minorHAnsi" w:hAnsiTheme="minorHAnsi" w:cstheme="minorHAnsi"/>
          <w:lang w:val="en-AU"/>
        </w:rPr>
        <w:t xml:space="preserve"> this is not a disqualifying purpose, an entity would still need to meet the definition of charity as set out in the ACNC Act </w:t>
      </w:r>
      <w:proofErr w:type="gramStart"/>
      <w:r w:rsidR="004E3F59" w:rsidRPr="004E3F59">
        <w:rPr>
          <w:rFonts w:asciiTheme="minorHAnsi" w:hAnsiTheme="minorHAnsi" w:cstheme="minorHAnsi"/>
          <w:lang w:val="en-AU"/>
        </w:rPr>
        <w:t>in order to</w:t>
      </w:r>
      <w:proofErr w:type="gramEnd"/>
      <w:r w:rsidR="004E3F59" w:rsidRPr="004E3F59">
        <w:rPr>
          <w:rFonts w:asciiTheme="minorHAnsi" w:hAnsiTheme="minorHAnsi" w:cstheme="minorHAnsi"/>
          <w:lang w:val="en-AU"/>
        </w:rPr>
        <w:t xml:space="preserve"> be a registered charity.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C7CD" w14:textId="77777777" w:rsidR="00FF0500" w:rsidRDefault="004776DF">
    <w:pPr>
      <w:pStyle w:val="Header"/>
    </w:pPr>
    <w:r>
      <w:rPr>
        <w:noProof/>
        <w:lang w:val="en-AU"/>
      </w:rPr>
      <w:drawing>
        <wp:anchor distT="0" distB="0" distL="114300" distR="114300" simplePos="0" relativeHeight="251657728" behindDoc="0" locked="0" layoutInCell="1" allowOverlap="1" wp14:anchorId="54F6C315" wp14:editId="07777777">
          <wp:simplePos x="0" y="0"/>
          <wp:positionH relativeFrom="column">
            <wp:posOffset>4572000</wp:posOffset>
          </wp:positionH>
          <wp:positionV relativeFrom="paragraph">
            <wp:posOffset>-400050</wp:posOffset>
          </wp:positionV>
          <wp:extent cx="1483360" cy="1463040"/>
          <wp:effectExtent l="0" t="0" r="0" b="0"/>
          <wp:wrapNone/>
          <wp:docPr id="12" name="Picture 12" descr="follower_graphic_200dp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llower_graphic_200dpi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46304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D779" w14:textId="77777777" w:rsidR="00D56713" w:rsidRDefault="00D56713">
    <w:pPr>
      <w:pStyle w:val="Header"/>
    </w:pPr>
  </w:p>
  <w:p w14:paraId="3CF2D8B6" w14:textId="77777777" w:rsidR="00FF0500" w:rsidRDefault="00FF0500">
    <w:pPr>
      <w:pStyle w:val="Header"/>
      <w:rPr>
        <w:noProof/>
        <w:lang w:val="en-AU"/>
      </w:rPr>
    </w:pPr>
  </w:p>
  <w:p w14:paraId="26C2734E" w14:textId="77777777" w:rsidR="00D141A7" w:rsidRDefault="00D141A7">
    <w:pPr>
      <w:pStyle w:val="Header"/>
      <w:rPr>
        <w:noProof/>
        <w:lang w:val="en-AU"/>
      </w:rPr>
    </w:pPr>
    <w:r>
      <w:rPr>
        <w:noProof/>
        <w:lang w:val="en-AU"/>
      </w:rPr>
      <w:drawing>
        <wp:anchor distT="0" distB="0" distL="114300" distR="114300" simplePos="0" relativeHeight="251661824" behindDoc="1" locked="0" layoutInCell="1" allowOverlap="1" wp14:anchorId="25D1D0F0" wp14:editId="07777777">
          <wp:simplePos x="0" y="0"/>
          <wp:positionH relativeFrom="margin">
            <wp:posOffset>0</wp:posOffset>
          </wp:positionH>
          <wp:positionV relativeFrom="paragraph">
            <wp:posOffset>8890</wp:posOffset>
          </wp:positionV>
          <wp:extent cx="1295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c_cobranded_rgb.png"/>
                  <pic:cNvPicPr/>
                </pic:nvPicPr>
                <pic:blipFill rotWithShape="1">
                  <a:blip r:embed="rId1">
                    <a:extLst>
                      <a:ext uri="{28A0092B-C50C-407E-A947-70E740481C1C}">
                        <a14:useLocalDpi xmlns:a14="http://schemas.microsoft.com/office/drawing/2010/main" val="0"/>
                      </a:ext>
                    </a:extLst>
                  </a:blip>
                  <a:srcRect r="62555"/>
                  <a:stretch/>
                </pic:blipFill>
                <pic:spPr bwMode="auto">
                  <a:xfrm>
                    <a:off x="0" y="0"/>
                    <a:ext cx="1295400" cy="914400"/>
                  </a:xfrm>
                  <a:prstGeom prst="rect">
                    <a:avLst/>
                  </a:prstGeom>
                  <a:ln>
                    <a:noFill/>
                  </a:ln>
                  <a:extLst>
                    <a:ext uri="{53640926-AAD7-44D8-BBD7-CCE9431645EC}">
                      <a14:shadowObscured xmlns:a14="http://schemas.microsoft.com/office/drawing/2010/main"/>
                    </a:ext>
                  </a:extLst>
                </pic:spPr>
              </pic:pic>
            </a:graphicData>
          </a:graphic>
        </wp:anchor>
      </w:drawing>
    </w:r>
    <w:r>
      <w:rPr>
        <w:noProof/>
        <w:lang w:val="en-AU"/>
      </w:rPr>
      <w:drawing>
        <wp:anchor distT="0" distB="0" distL="114300" distR="114300" simplePos="0" relativeHeight="251662848" behindDoc="1" locked="0" layoutInCell="1" allowOverlap="1" wp14:anchorId="585DD137" wp14:editId="07777777">
          <wp:simplePos x="0" y="0"/>
          <wp:positionH relativeFrom="margin">
            <wp:posOffset>3972560</wp:posOffset>
          </wp:positionH>
          <wp:positionV relativeFrom="paragraph">
            <wp:posOffset>-635</wp:posOffset>
          </wp:positionV>
          <wp:extent cx="1992629" cy="9144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nc_cobranded_rgb.png"/>
                  <pic:cNvPicPr/>
                </pic:nvPicPr>
                <pic:blipFill rotWithShape="1">
                  <a:blip r:embed="rId1">
                    <a:extLst>
                      <a:ext uri="{28A0092B-C50C-407E-A947-70E740481C1C}">
                        <a14:useLocalDpi xmlns:a14="http://schemas.microsoft.com/office/drawing/2010/main" val="0"/>
                      </a:ext>
                    </a:extLst>
                  </a:blip>
                  <a:srcRect l="42401"/>
                  <a:stretch/>
                </pic:blipFill>
                <pic:spPr bwMode="auto">
                  <a:xfrm>
                    <a:off x="0" y="0"/>
                    <a:ext cx="1992629" cy="914400"/>
                  </a:xfrm>
                  <a:prstGeom prst="rect">
                    <a:avLst/>
                  </a:prstGeom>
                  <a:ln>
                    <a:noFill/>
                  </a:ln>
                  <a:extLst>
                    <a:ext uri="{53640926-AAD7-44D8-BBD7-CCE9431645EC}">
                      <a14:shadowObscured xmlns:a14="http://schemas.microsoft.com/office/drawing/2010/main"/>
                    </a:ext>
                  </a:extLst>
                </pic:spPr>
              </pic:pic>
            </a:graphicData>
          </a:graphic>
        </wp:anchor>
      </w:drawing>
    </w:r>
  </w:p>
  <w:p w14:paraId="0FB78278" w14:textId="77777777" w:rsidR="00D141A7" w:rsidRDefault="00D141A7">
    <w:pPr>
      <w:pStyle w:val="Header"/>
      <w:rPr>
        <w:noProof/>
        <w:lang w:val="en-AU"/>
      </w:rPr>
    </w:pPr>
  </w:p>
  <w:p w14:paraId="1FC39945" w14:textId="77777777" w:rsidR="00D141A7" w:rsidRDefault="00D141A7">
    <w:pPr>
      <w:pStyle w:val="Header"/>
      <w:rPr>
        <w:noProof/>
        <w:lang w:val="en-AU"/>
      </w:rPr>
    </w:pPr>
  </w:p>
  <w:p w14:paraId="0562CB0E" w14:textId="77777777" w:rsidR="00D141A7" w:rsidRDefault="00D141A7">
    <w:pPr>
      <w:pStyle w:val="Header"/>
      <w:rPr>
        <w:noProof/>
        <w:lang w:val="en-AU"/>
      </w:rPr>
    </w:pPr>
  </w:p>
  <w:p w14:paraId="34CE0A41" w14:textId="77777777" w:rsidR="00D141A7" w:rsidRDefault="00D141A7">
    <w:pPr>
      <w:pStyle w:val="Header"/>
      <w:rPr>
        <w:noProof/>
        <w:lang w:val="en-AU"/>
      </w:rPr>
    </w:pPr>
  </w:p>
  <w:p w14:paraId="62EBF3C5" w14:textId="77777777" w:rsidR="00D141A7" w:rsidRDefault="00D141A7">
    <w:pPr>
      <w:pStyle w:val="Header"/>
      <w:rPr>
        <w:noProof/>
        <w:lang w:val="en-AU"/>
      </w:rPr>
    </w:pPr>
  </w:p>
  <w:p w14:paraId="6D98A12B" w14:textId="77777777" w:rsidR="00D141A7" w:rsidRDefault="00D141A7">
    <w:pPr>
      <w:pStyle w:val="Header"/>
      <w:rPr>
        <w:noProof/>
        <w:lang w:val="en-AU"/>
      </w:rPr>
    </w:pPr>
  </w:p>
  <w:p w14:paraId="2946DB82" w14:textId="77777777" w:rsidR="00D141A7" w:rsidRDefault="00D14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7E21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BE5C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862AE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258F6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004C7F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24D7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21C9F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25AEC3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4867C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57AA49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E87E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A2A335C"/>
    <w:lvl w:ilvl="0">
      <w:numFmt w:val="bullet"/>
      <w:lvlText w:val="*"/>
      <w:lvlJc w:val="left"/>
      <w:pPr>
        <w:ind w:left="0" w:firstLine="0"/>
      </w:pPr>
    </w:lvl>
  </w:abstractNum>
  <w:abstractNum w:abstractNumId="12" w15:restartNumberingAfterBreak="0">
    <w:nsid w:val="05F10C39"/>
    <w:multiLevelType w:val="hybridMultilevel"/>
    <w:tmpl w:val="4BB4B8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88497C"/>
    <w:multiLevelType w:val="hybridMultilevel"/>
    <w:tmpl w:val="9AD6A01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45414B"/>
    <w:multiLevelType w:val="hybridMultilevel"/>
    <w:tmpl w:val="54E8AE6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38320C6"/>
    <w:multiLevelType w:val="hybridMultilevel"/>
    <w:tmpl w:val="1CA68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AF3668"/>
    <w:multiLevelType w:val="hybridMultilevel"/>
    <w:tmpl w:val="F7DEA9A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CF4442C"/>
    <w:multiLevelType w:val="hybridMultilevel"/>
    <w:tmpl w:val="A05EB9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3A5F46"/>
    <w:multiLevelType w:val="hybridMultilevel"/>
    <w:tmpl w:val="8E56F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4F5EC6"/>
    <w:multiLevelType w:val="hybridMultilevel"/>
    <w:tmpl w:val="3D1A8B5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5B92AB9"/>
    <w:multiLevelType w:val="hybridMultilevel"/>
    <w:tmpl w:val="BBD2FF66"/>
    <w:lvl w:ilvl="0" w:tplc="C9963E42">
      <w:start w:val="6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C27ED5"/>
    <w:multiLevelType w:val="hybridMultilevel"/>
    <w:tmpl w:val="FA927E24"/>
    <w:lvl w:ilvl="0" w:tplc="7B3C34B4">
      <w:start w:val="2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543422"/>
    <w:multiLevelType w:val="hybridMultilevel"/>
    <w:tmpl w:val="B7E8D26A"/>
    <w:lvl w:ilvl="0" w:tplc="7B3C34B4">
      <w:start w:val="23"/>
      <w:numFmt w:val="bullet"/>
      <w:lvlText w:val="-"/>
      <w:lvlJc w:val="left"/>
      <w:pPr>
        <w:ind w:left="720" w:hanging="360"/>
      </w:pPr>
      <w:rPr>
        <w:rFonts w:ascii="Arial" w:eastAsia="Times New Roman" w:hAnsi="Arial" w:cs="Aria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F53C40"/>
    <w:multiLevelType w:val="hybridMultilevel"/>
    <w:tmpl w:val="3FD05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34506B"/>
    <w:multiLevelType w:val="hybridMultilevel"/>
    <w:tmpl w:val="DD826E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14489A"/>
    <w:multiLevelType w:val="hybridMultilevel"/>
    <w:tmpl w:val="E2185D8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AB010ED"/>
    <w:multiLevelType w:val="hybridMultilevel"/>
    <w:tmpl w:val="07DE501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0633C9B"/>
    <w:multiLevelType w:val="hybridMultilevel"/>
    <w:tmpl w:val="6B52B66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1EA336D"/>
    <w:multiLevelType w:val="hybridMultilevel"/>
    <w:tmpl w:val="419434F8"/>
    <w:lvl w:ilvl="0" w:tplc="7B3C34B4">
      <w:start w:val="2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540F4E"/>
    <w:multiLevelType w:val="hybridMultilevel"/>
    <w:tmpl w:val="C8D08AC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5448B3"/>
    <w:multiLevelType w:val="hybridMultilevel"/>
    <w:tmpl w:val="94422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4D2056"/>
    <w:multiLevelType w:val="hybridMultilevel"/>
    <w:tmpl w:val="6840B856"/>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8641115"/>
    <w:multiLevelType w:val="hybridMultilevel"/>
    <w:tmpl w:val="106A34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722D6E"/>
    <w:multiLevelType w:val="hybridMultilevel"/>
    <w:tmpl w:val="0830689A"/>
    <w:lvl w:ilvl="0" w:tplc="7B3C34B4">
      <w:start w:val="23"/>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A909FB"/>
    <w:multiLevelType w:val="hybridMultilevel"/>
    <w:tmpl w:val="3E94377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4"/>
  </w:num>
  <w:num w:numId="13">
    <w:abstractNumId w:val="25"/>
  </w:num>
  <w:num w:numId="14">
    <w:abstractNumId w:val="17"/>
  </w:num>
  <w:num w:numId="15">
    <w:abstractNumId w:val="26"/>
  </w:num>
  <w:num w:numId="16">
    <w:abstractNumId w:val="27"/>
  </w:num>
  <w:num w:numId="17">
    <w:abstractNumId w:val="16"/>
  </w:num>
  <w:num w:numId="18">
    <w:abstractNumId w:val="19"/>
  </w:num>
  <w:num w:numId="19">
    <w:abstractNumId w:val="34"/>
  </w:num>
  <w:num w:numId="20">
    <w:abstractNumId w:val="28"/>
  </w:num>
  <w:num w:numId="21">
    <w:abstractNumId w:val="29"/>
  </w:num>
  <w:num w:numId="22">
    <w:abstractNumId w:val="20"/>
  </w:num>
  <w:num w:numId="23">
    <w:abstractNumId w:val="32"/>
  </w:num>
  <w:num w:numId="24">
    <w:abstractNumId w:val="30"/>
  </w:num>
  <w:num w:numId="25">
    <w:abstractNumId w:val="18"/>
  </w:num>
  <w:num w:numId="26">
    <w:abstractNumId w:val="21"/>
  </w:num>
  <w:num w:numId="27">
    <w:abstractNumId w:val="33"/>
  </w:num>
  <w:num w:numId="28">
    <w:abstractNumId w:val="22"/>
  </w:num>
  <w:num w:numId="29">
    <w:abstractNumId w:val="15"/>
  </w:num>
  <w:num w:numId="30">
    <w:abstractNumId w:val="13"/>
  </w:num>
  <w:num w:numId="31">
    <w:abstractNumId w:val="14"/>
  </w:num>
  <w:num w:numId="32">
    <w:abstractNumId w:val="12"/>
  </w:num>
  <w:num w:numId="33">
    <w:abstractNumId w:val="11"/>
    <w:lvlOverride w:ilvl="0">
      <w:lvl w:ilvl="0">
        <w:numFmt w:val="bullet"/>
        <w:lvlText w:val=""/>
        <w:legacy w:legacy="1" w:legacySpace="0" w:legacyIndent="0"/>
        <w:lvlJc w:val="left"/>
        <w:pPr>
          <w:ind w:left="0" w:firstLine="0"/>
        </w:pPr>
        <w:rPr>
          <w:rFonts w:ascii="Symbol" w:hAnsi="Symbol" w:hint="default"/>
        </w:rPr>
      </w:lvl>
    </w:lvlOverride>
  </w:num>
  <w:num w:numId="34">
    <w:abstractNumId w:val="11"/>
    <w:lvlOverride w:ilvl="0">
      <w:lvl w:ilvl="0">
        <w:numFmt w:val="bullet"/>
        <w:lvlText w:val=""/>
        <w:legacy w:legacy="1" w:legacySpace="0" w:legacyIndent="360"/>
        <w:lvlJc w:val="left"/>
        <w:pPr>
          <w:ind w:hanging="360"/>
        </w:pPr>
        <w:rPr>
          <w:rFonts w:ascii="Symbol" w:hAnsi="Symbol" w:hint="default"/>
        </w:rPr>
      </w:lvl>
    </w:lvlOverride>
  </w:num>
  <w:num w:numId="35">
    <w:abstractNumId w:val="2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1E"/>
    <w:rsid w:val="00002369"/>
    <w:rsid w:val="0000426F"/>
    <w:rsid w:val="00011176"/>
    <w:rsid w:val="0001455E"/>
    <w:rsid w:val="00014B7B"/>
    <w:rsid w:val="00017538"/>
    <w:rsid w:val="00017774"/>
    <w:rsid w:val="00017CB6"/>
    <w:rsid w:val="00024ACF"/>
    <w:rsid w:val="000320F4"/>
    <w:rsid w:val="0005295D"/>
    <w:rsid w:val="000657B7"/>
    <w:rsid w:val="00066058"/>
    <w:rsid w:val="00067C3A"/>
    <w:rsid w:val="00074F0F"/>
    <w:rsid w:val="00084D06"/>
    <w:rsid w:val="00093D8E"/>
    <w:rsid w:val="000A66C1"/>
    <w:rsid w:val="000B17D3"/>
    <w:rsid w:val="000D64B9"/>
    <w:rsid w:val="00103235"/>
    <w:rsid w:val="00103532"/>
    <w:rsid w:val="00110C69"/>
    <w:rsid w:val="0011740E"/>
    <w:rsid w:val="00121626"/>
    <w:rsid w:val="00135A47"/>
    <w:rsid w:val="00153FC4"/>
    <w:rsid w:val="00154177"/>
    <w:rsid w:val="00160EC5"/>
    <w:rsid w:val="00163DF9"/>
    <w:rsid w:val="00167ABB"/>
    <w:rsid w:val="001728C1"/>
    <w:rsid w:val="0017358E"/>
    <w:rsid w:val="00173D34"/>
    <w:rsid w:val="00174904"/>
    <w:rsid w:val="00176668"/>
    <w:rsid w:val="00182223"/>
    <w:rsid w:val="00187775"/>
    <w:rsid w:val="00187DEC"/>
    <w:rsid w:val="001B3533"/>
    <w:rsid w:val="001C06A3"/>
    <w:rsid w:val="001C1D0E"/>
    <w:rsid w:val="001E4E25"/>
    <w:rsid w:val="002167A5"/>
    <w:rsid w:val="002237A0"/>
    <w:rsid w:val="00235603"/>
    <w:rsid w:val="00242EB5"/>
    <w:rsid w:val="00246C6B"/>
    <w:rsid w:val="00251D72"/>
    <w:rsid w:val="00257F8B"/>
    <w:rsid w:val="002665E4"/>
    <w:rsid w:val="00275430"/>
    <w:rsid w:val="00281B9B"/>
    <w:rsid w:val="00296CFB"/>
    <w:rsid w:val="002A534A"/>
    <w:rsid w:val="002B2CB8"/>
    <w:rsid w:val="002B442F"/>
    <w:rsid w:val="002B769C"/>
    <w:rsid w:val="002C5C73"/>
    <w:rsid w:val="002D0235"/>
    <w:rsid w:val="002E260B"/>
    <w:rsid w:val="002E5193"/>
    <w:rsid w:val="002E7472"/>
    <w:rsid w:val="003068CA"/>
    <w:rsid w:val="0031169D"/>
    <w:rsid w:val="00312778"/>
    <w:rsid w:val="00317B5F"/>
    <w:rsid w:val="00330C06"/>
    <w:rsid w:val="0033239D"/>
    <w:rsid w:val="00334AF9"/>
    <w:rsid w:val="00342B7A"/>
    <w:rsid w:val="00345BD3"/>
    <w:rsid w:val="00346214"/>
    <w:rsid w:val="0035154E"/>
    <w:rsid w:val="003516E7"/>
    <w:rsid w:val="00352590"/>
    <w:rsid w:val="003526A6"/>
    <w:rsid w:val="003568B4"/>
    <w:rsid w:val="00361D88"/>
    <w:rsid w:val="00365D8A"/>
    <w:rsid w:val="00367BD4"/>
    <w:rsid w:val="0037379E"/>
    <w:rsid w:val="00375F96"/>
    <w:rsid w:val="003764A0"/>
    <w:rsid w:val="00376FDA"/>
    <w:rsid w:val="003848B1"/>
    <w:rsid w:val="003902B9"/>
    <w:rsid w:val="003961AB"/>
    <w:rsid w:val="003A031A"/>
    <w:rsid w:val="003B3DB9"/>
    <w:rsid w:val="003B4B03"/>
    <w:rsid w:val="003D3200"/>
    <w:rsid w:val="00404012"/>
    <w:rsid w:val="00404A83"/>
    <w:rsid w:val="0041441A"/>
    <w:rsid w:val="00421971"/>
    <w:rsid w:val="00422268"/>
    <w:rsid w:val="0042436A"/>
    <w:rsid w:val="00425456"/>
    <w:rsid w:val="00425985"/>
    <w:rsid w:val="00437D0A"/>
    <w:rsid w:val="004404C9"/>
    <w:rsid w:val="00446932"/>
    <w:rsid w:val="0044714F"/>
    <w:rsid w:val="0045076E"/>
    <w:rsid w:val="004776DF"/>
    <w:rsid w:val="00481367"/>
    <w:rsid w:val="00481C89"/>
    <w:rsid w:val="00490E77"/>
    <w:rsid w:val="00492618"/>
    <w:rsid w:val="0049306C"/>
    <w:rsid w:val="004A62BD"/>
    <w:rsid w:val="004C1D90"/>
    <w:rsid w:val="004D1BA1"/>
    <w:rsid w:val="004D3C15"/>
    <w:rsid w:val="004E3F59"/>
    <w:rsid w:val="004F1326"/>
    <w:rsid w:val="005143A1"/>
    <w:rsid w:val="00524358"/>
    <w:rsid w:val="005257E6"/>
    <w:rsid w:val="00525D25"/>
    <w:rsid w:val="005260FD"/>
    <w:rsid w:val="0053041A"/>
    <w:rsid w:val="00543CA4"/>
    <w:rsid w:val="005504AB"/>
    <w:rsid w:val="005529ED"/>
    <w:rsid w:val="00552D72"/>
    <w:rsid w:val="0056335B"/>
    <w:rsid w:val="0056796C"/>
    <w:rsid w:val="00575101"/>
    <w:rsid w:val="00582FB1"/>
    <w:rsid w:val="005913FF"/>
    <w:rsid w:val="005926F3"/>
    <w:rsid w:val="005A3C82"/>
    <w:rsid w:val="005B46F0"/>
    <w:rsid w:val="005B4D49"/>
    <w:rsid w:val="005C0E1F"/>
    <w:rsid w:val="005C50E0"/>
    <w:rsid w:val="005D745E"/>
    <w:rsid w:val="005E17F4"/>
    <w:rsid w:val="005F240F"/>
    <w:rsid w:val="0060671D"/>
    <w:rsid w:val="00612269"/>
    <w:rsid w:val="00632593"/>
    <w:rsid w:val="0064170D"/>
    <w:rsid w:val="00650A00"/>
    <w:rsid w:val="00654CB7"/>
    <w:rsid w:val="006611AC"/>
    <w:rsid w:val="00663A0A"/>
    <w:rsid w:val="006655B8"/>
    <w:rsid w:val="00672DF8"/>
    <w:rsid w:val="0067728A"/>
    <w:rsid w:val="00695C7F"/>
    <w:rsid w:val="006A11F2"/>
    <w:rsid w:val="006A636B"/>
    <w:rsid w:val="006B2B58"/>
    <w:rsid w:val="006B417A"/>
    <w:rsid w:val="006B7A16"/>
    <w:rsid w:val="006D4A9C"/>
    <w:rsid w:val="006E0785"/>
    <w:rsid w:val="006F261E"/>
    <w:rsid w:val="007120BF"/>
    <w:rsid w:val="00725490"/>
    <w:rsid w:val="00766FA9"/>
    <w:rsid w:val="00777808"/>
    <w:rsid w:val="00777BEC"/>
    <w:rsid w:val="00782622"/>
    <w:rsid w:val="00783BD1"/>
    <w:rsid w:val="00786982"/>
    <w:rsid w:val="00792179"/>
    <w:rsid w:val="007A5C1A"/>
    <w:rsid w:val="007B0189"/>
    <w:rsid w:val="007B091F"/>
    <w:rsid w:val="007B47CF"/>
    <w:rsid w:val="007D1DC7"/>
    <w:rsid w:val="007D30CE"/>
    <w:rsid w:val="007E7A5A"/>
    <w:rsid w:val="007F131E"/>
    <w:rsid w:val="007F1E81"/>
    <w:rsid w:val="007F201A"/>
    <w:rsid w:val="00800425"/>
    <w:rsid w:val="00801DEB"/>
    <w:rsid w:val="00803782"/>
    <w:rsid w:val="00805519"/>
    <w:rsid w:val="00810B4E"/>
    <w:rsid w:val="008162E5"/>
    <w:rsid w:val="00825584"/>
    <w:rsid w:val="0082588B"/>
    <w:rsid w:val="008416FD"/>
    <w:rsid w:val="008424AC"/>
    <w:rsid w:val="00851042"/>
    <w:rsid w:val="008522CB"/>
    <w:rsid w:val="00853838"/>
    <w:rsid w:val="00870032"/>
    <w:rsid w:val="00881037"/>
    <w:rsid w:val="00884C46"/>
    <w:rsid w:val="00892F4E"/>
    <w:rsid w:val="00896FAA"/>
    <w:rsid w:val="008A23A3"/>
    <w:rsid w:val="008A2E45"/>
    <w:rsid w:val="008A30E9"/>
    <w:rsid w:val="008A752A"/>
    <w:rsid w:val="008B00FC"/>
    <w:rsid w:val="008C5904"/>
    <w:rsid w:val="008F7D4D"/>
    <w:rsid w:val="00903312"/>
    <w:rsid w:val="00923DDC"/>
    <w:rsid w:val="009369D9"/>
    <w:rsid w:val="009445A7"/>
    <w:rsid w:val="009476DC"/>
    <w:rsid w:val="00956574"/>
    <w:rsid w:val="00956CC1"/>
    <w:rsid w:val="0096569E"/>
    <w:rsid w:val="00966550"/>
    <w:rsid w:val="0098159F"/>
    <w:rsid w:val="0098651B"/>
    <w:rsid w:val="00993A40"/>
    <w:rsid w:val="00993C74"/>
    <w:rsid w:val="00994E48"/>
    <w:rsid w:val="009B27EB"/>
    <w:rsid w:val="009C539D"/>
    <w:rsid w:val="009E362C"/>
    <w:rsid w:val="009E586A"/>
    <w:rsid w:val="009E6DE4"/>
    <w:rsid w:val="009F18AA"/>
    <w:rsid w:val="009F1B7F"/>
    <w:rsid w:val="009F4203"/>
    <w:rsid w:val="009F78EC"/>
    <w:rsid w:val="00A02A67"/>
    <w:rsid w:val="00A057F0"/>
    <w:rsid w:val="00A17F0C"/>
    <w:rsid w:val="00A26DD7"/>
    <w:rsid w:val="00A71DD9"/>
    <w:rsid w:val="00A72381"/>
    <w:rsid w:val="00A73896"/>
    <w:rsid w:val="00A755D7"/>
    <w:rsid w:val="00A76332"/>
    <w:rsid w:val="00A76963"/>
    <w:rsid w:val="00A85575"/>
    <w:rsid w:val="00A86212"/>
    <w:rsid w:val="00A87A0F"/>
    <w:rsid w:val="00A9069A"/>
    <w:rsid w:val="00A9419B"/>
    <w:rsid w:val="00AA7C70"/>
    <w:rsid w:val="00AB494B"/>
    <w:rsid w:val="00AC4402"/>
    <w:rsid w:val="00AD47DA"/>
    <w:rsid w:val="00AD7D88"/>
    <w:rsid w:val="00AE2E68"/>
    <w:rsid w:val="00AE38D9"/>
    <w:rsid w:val="00AE543C"/>
    <w:rsid w:val="00AE5822"/>
    <w:rsid w:val="00AF3A28"/>
    <w:rsid w:val="00B022C6"/>
    <w:rsid w:val="00B07316"/>
    <w:rsid w:val="00B10453"/>
    <w:rsid w:val="00B10E1A"/>
    <w:rsid w:val="00B14290"/>
    <w:rsid w:val="00B25138"/>
    <w:rsid w:val="00B2564C"/>
    <w:rsid w:val="00B271A6"/>
    <w:rsid w:val="00B32437"/>
    <w:rsid w:val="00B367F7"/>
    <w:rsid w:val="00B40354"/>
    <w:rsid w:val="00B4202C"/>
    <w:rsid w:val="00B6231A"/>
    <w:rsid w:val="00B624B4"/>
    <w:rsid w:val="00B634DB"/>
    <w:rsid w:val="00B66A65"/>
    <w:rsid w:val="00B7305E"/>
    <w:rsid w:val="00B8504C"/>
    <w:rsid w:val="00B868DA"/>
    <w:rsid w:val="00B97F76"/>
    <w:rsid w:val="00BA41FA"/>
    <w:rsid w:val="00BA4F8C"/>
    <w:rsid w:val="00BB39BF"/>
    <w:rsid w:val="00BB6A41"/>
    <w:rsid w:val="00BB7AC7"/>
    <w:rsid w:val="00BC3341"/>
    <w:rsid w:val="00BC4D72"/>
    <w:rsid w:val="00BC569C"/>
    <w:rsid w:val="00BC697E"/>
    <w:rsid w:val="00BE31B1"/>
    <w:rsid w:val="00BE39C6"/>
    <w:rsid w:val="00BE54D6"/>
    <w:rsid w:val="00BF07F8"/>
    <w:rsid w:val="00BF6741"/>
    <w:rsid w:val="00C00C96"/>
    <w:rsid w:val="00C0180C"/>
    <w:rsid w:val="00C02811"/>
    <w:rsid w:val="00C04D47"/>
    <w:rsid w:val="00C1169D"/>
    <w:rsid w:val="00C165BC"/>
    <w:rsid w:val="00C248ED"/>
    <w:rsid w:val="00C30FBB"/>
    <w:rsid w:val="00C31762"/>
    <w:rsid w:val="00C35059"/>
    <w:rsid w:val="00C44282"/>
    <w:rsid w:val="00C55F77"/>
    <w:rsid w:val="00C62DD7"/>
    <w:rsid w:val="00C754BE"/>
    <w:rsid w:val="00C803D2"/>
    <w:rsid w:val="00C824B8"/>
    <w:rsid w:val="00C82C8B"/>
    <w:rsid w:val="00C91182"/>
    <w:rsid w:val="00C92C9A"/>
    <w:rsid w:val="00C960AD"/>
    <w:rsid w:val="00CB16D8"/>
    <w:rsid w:val="00CC04BA"/>
    <w:rsid w:val="00CC3B8E"/>
    <w:rsid w:val="00CF1E6F"/>
    <w:rsid w:val="00D13432"/>
    <w:rsid w:val="00D141A7"/>
    <w:rsid w:val="00D22696"/>
    <w:rsid w:val="00D24C86"/>
    <w:rsid w:val="00D2589E"/>
    <w:rsid w:val="00D42AF0"/>
    <w:rsid w:val="00D4316F"/>
    <w:rsid w:val="00D51D0A"/>
    <w:rsid w:val="00D51FAE"/>
    <w:rsid w:val="00D56713"/>
    <w:rsid w:val="00D670C3"/>
    <w:rsid w:val="00D74570"/>
    <w:rsid w:val="00D77796"/>
    <w:rsid w:val="00D80A8A"/>
    <w:rsid w:val="00D81BE8"/>
    <w:rsid w:val="00D85E51"/>
    <w:rsid w:val="00D911E5"/>
    <w:rsid w:val="00D938F7"/>
    <w:rsid w:val="00D95404"/>
    <w:rsid w:val="00DA7133"/>
    <w:rsid w:val="00DB3C25"/>
    <w:rsid w:val="00DB3D69"/>
    <w:rsid w:val="00DB5882"/>
    <w:rsid w:val="00DD3593"/>
    <w:rsid w:val="00DE0A95"/>
    <w:rsid w:val="00DE433D"/>
    <w:rsid w:val="00E053D2"/>
    <w:rsid w:val="00E11BF9"/>
    <w:rsid w:val="00E211CA"/>
    <w:rsid w:val="00E26123"/>
    <w:rsid w:val="00E305C8"/>
    <w:rsid w:val="00E33E06"/>
    <w:rsid w:val="00E42B42"/>
    <w:rsid w:val="00E5178F"/>
    <w:rsid w:val="00E55B39"/>
    <w:rsid w:val="00E570BA"/>
    <w:rsid w:val="00E76A41"/>
    <w:rsid w:val="00E814B6"/>
    <w:rsid w:val="00E85AAD"/>
    <w:rsid w:val="00E86EAE"/>
    <w:rsid w:val="00EA37B6"/>
    <w:rsid w:val="00ED07EF"/>
    <w:rsid w:val="00ED4D6A"/>
    <w:rsid w:val="00ED68BD"/>
    <w:rsid w:val="00EE6161"/>
    <w:rsid w:val="00EF735F"/>
    <w:rsid w:val="00EF76CF"/>
    <w:rsid w:val="00F23A0E"/>
    <w:rsid w:val="00F31420"/>
    <w:rsid w:val="00F3255D"/>
    <w:rsid w:val="00F34F13"/>
    <w:rsid w:val="00F61ED2"/>
    <w:rsid w:val="00F96E3F"/>
    <w:rsid w:val="00FA181A"/>
    <w:rsid w:val="00FA56B0"/>
    <w:rsid w:val="00FB574C"/>
    <w:rsid w:val="00FB5EB9"/>
    <w:rsid w:val="00FC4023"/>
    <w:rsid w:val="00FC41E3"/>
    <w:rsid w:val="00FC4227"/>
    <w:rsid w:val="00FD0017"/>
    <w:rsid w:val="00FD5104"/>
    <w:rsid w:val="00FD5FE4"/>
    <w:rsid w:val="00FF0500"/>
    <w:rsid w:val="00FF4F9E"/>
    <w:rsid w:val="00FF77C3"/>
    <w:rsid w:val="00FF7B0D"/>
    <w:rsid w:val="071E894B"/>
    <w:rsid w:val="07C773C3"/>
    <w:rsid w:val="1C267099"/>
    <w:rsid w:val="4FF1DEB7"/>
    <w:rsid w:val="5A6CC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BDFE613"/>
  <w15:docId w15:val="{877D8175-FA00-4D12-90E8-0957B0B7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B46F0"/>
    <w:rPr>
      <w:rFonts w:ascii="Times New Roman" w:eastAsia="Times New Roman" w:hAnsi="Times New Roman"/>
      <w:sz w:val="24"/>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7E2"/>
    <w:pPr>
      <w:tabs>
        <w:tab w:val="center" w:pos="4320"/>
        <w:tab w:val="right" w:pos="8640"/>
      </w:tabs>
    </w:pPr>
  </w:style>
  <w:style w:type="character" w:customStyle="1" w:styleId="HeaderChar">
    <w:name w:val="Header Char"/>
    <w:basedOn w:val="DefaultParagraphFont"/>
    <w:link w:val="Header"/>
    <w:uiPriority w:val="99"/>
    <w:rsid w:val="001327E2"/>
  </w:style>
  <w:style w:type="paragraph" w:styleId="Footer">
    <w:name w:val="footer"/>
    <w:basedOn w:val="Normal"/>
    <w:link w:val="FooterChar"/>
    <w:uiPriority w:val="99"/>
    <w:unhideWhenUsed/>
    <w:rsid w:val="001327E2"/>
    <w:pPr>
      <w:tabs>
        <w:tab w:val="center" w:pos="4320"/>
        <w:tab w:val="right" w:pos="8640"/>
      </w:tabs>
    </w:pPr>
  </w:style>
  <w:style w:type="character" w:customStyle="1" w:styleId="FooterChar">
    <w:name w:val="Footer Char"/>
    <w:basedOn w:val="DefaultParagraphFont"/>
    <w:link w:val="Footer"/>
    <w:uiPriority w:val="99"/>
    <w:rsid w:val="001327E2"/>
  </w:style>
  <w:style w:type="paragraph" w:customStyle="1" w:styleId="Body">
    <w:name w:val="Body"/>
    <w:basedOn w:val="Normal"/>
    <w:qFormat/>
    <w:rsid w:val="00981DC8"/>
    <w:pPr>
      <w:spacing w:after="240" w:line="260" w:lineRule="exact"/>
    </w:pPr>
    <w:rPr>
      <w:rFonts w:ascii="Arial" w:hAnsi="Arial"/>
      <w:sz w:val="18"/>
    </w:rPr>
  </w:style>
  <w:style w:type="paragraph" w:customStyle="1" w:styleId="Body-spaceafter">
    <w:name w:val="Body - space after"/>
    <w:basedOn w:val="Normal"/>
    <w:qFormat/>
    <w:rsid w:val="00981DC8"/>
    <w:pPr>
      <w:spacing w:after="500"/>
    </w:pPr>
    <w:rPr>
      <w:rFonts w:ascii="Arial" w:hAnsi="Arial"/>
      <w:sz w:val="18"/>
    </w:rPr>
  </w:style>
  <w:style w:type="paragraph" w:customStyle="1" w:styleId="Body-spacebefore">
    <w:name w:val="Body - space before"/>
    <w:basedOn w:val="Body"/>
    <w:qFormat/>
    <w:rsid w:val="00981DC8"/>
    <w:pPr>
      <w:spacing w:before="500"/>
    </w:pPr>
  </w:style>
  <w:style w:type="table" w:styleId="TableGrid">
    <w:name w:val="Table Grid"/>
    <w:basedOn w:val="TableNormal"/>
    <w:rsid w:val="005257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57E6"/>
    <w:rPr>
      <w:color w:val="0000FF"/>
      <w:u w:val="single"/>
    </w:rPr>
  </w:style>
  <w:style w:type="paragraph" w:styleId="NormalWeb">
    <w:name w:val="Normal (Web)"/>
    <w:basedOn w:val="Normal"/>
    <w:rsid w:val="005B46F0"/>
    <w:pPr>
      <w:spacing w:before="100" w:beforeAutospacing="1" w:after="100" w:afterAutospacing="1"/>
    </w:pPr>
    <w:rPr>
      <w:szCs w:val="24"/>
      <w:lang w:val="en-AU"/>
    </w:rPr>
  </w:style>
  <w:style w:type="character" w:styleId="CommentReference">
    <w:name w:val="annotation reference"/>
    <w:semiHidden/>
    <w:rsid w:val="009F4203"/>
    <w:rPr>
      <w:sz w:val="16"/>
      <w:szCs w:val="16"/>
    </w:rPr>
  </w:style>
  <w:style w:type="paragraph" w:styleId="CommentText">
    <w:name w:val="annotation text"/>
    <w:basedOn w:val="Normal"/>
    <w:link w:val="CommentTextChar"/>
    <w:semiHidden/>
    <w:rsid w:val="009F4203"/>
    <w:rPr>
      <w:sz w:val="20"/>
    </w:rPr>
  </w:style>
  <w:style w:type="paragraph" w:styleId="BalloonText">
    <w:name w:val="Balloon Text"/>
    <w:basedOn w:val="Normal"/>
    <w:semiHidden/>
    <w:rsid w:val="009F4203"/>
    <w:rPr>
      <w:rFonts w:ascii="Tahoma" w:hAnsi="Tahoma" w:cs="Tahoma"/>
      <w:sz w:val="16"/>
      <w:szCs w:val="16"/>
    </w:rPr>
  </w:style>
  <w:style w:type="paragraph" w:styleId="CommentSubject">
    <w:name w:val="annotation subject"/>
    <w:basedOn w:val="CommentText"/>
    <w:next w:val="CommentText"/>
    <w:semiHidden/>
    <w:rsid w:val="00881037"/>
    <w:rPr>
      <w:b/>
      <w:bCs/>
    </w:rPr>
  </w:style>
  <w:style w:type="paragraph" w:styleId="ListParagraph">
    <w:name w:val="List Paragraph"/>
    <w:basedOn w:val="Normal"/>
    <w:uiPriority w:val="34"/>
    <w:qFormat/>
    <w:rsid w:val="00EE6161"/>
    <w:pPr>
      <w:ind w:left="720"/>
    </w:pPr>
  </w:style>
  <w:style w:type="paragraph" w:styleId="EndnoteText">
    <w:name w:val="endnote text"/>
    <w:basedOn w:val="Normal"/>
    <w:link w:val="EndnoteTextChar"/>
    <w:rsid w:val="00552D72"/>
    <w:rPr>
      <w:sz w:val="20"/>
    </w:rPr>
  </w:style>
  <w:style w:type="character" w:customStyle="1" w:styleId="EndnoteTextChar">
    <w:name w:val="Endnote Text Char"/>
    <w:link w:val="EndnoteText"/>
    <w:rsid w:val="00552D72"/>
    <w:rPr>
      <w:rFonts w:ascii="Times New Roman" w:eastAsia="Times New Roman" w:hAnsi="Times New Roman"/>
      <w:lang w:val="en-GB"/>
    </w:rPr>
  </w:style>
  <w:style w:type="character" w:styleId="EndnoteReference">
    <w:name w:val="endnote reference"/>
    <w:rsid w:val="00552D72"/>
    <w:rPr>
      <w:vertAlign w:val="superscript"/>
    </w:rPr>
  </w:style>
  <w:style w:type="paragraph" w:styleId="FootnoteText">
    <w:name w:val="footnote text"/>
    <w:basedOn w:val="Normal"/>
    <w:link w:val="FootnoteTextChar"/>
    <w:rsid w:val="00552D72"/>
    <w:rPr>
      <w:sz w:val="20"/>
    </w:rPr>
  </w:style>
  <w:style w:type="character" w:customStyle="1" w:styleId="FootnoteTextChar">
    <w:name w:val="Footnote Text Char"/>
    <w:link w:val="FootnoteText"/>
    <w:rsid w:val="00552D72"/>
    <w:rPr>
      <w:rFonts w:ascii="Times New Roman" w:eastAsia="Times New Roman" w:hAnsi="Times New Roman"/>
      <w:lang w:val="en-GB"/>
    </w:rPr>
  </w:style>
  <w:style w:type="character" w:styleId="FootnoteReference">
    <w:name w:val="footnote reference"/>
    <w:rsid w:val="00552D72"/>
    <w:rPr>
      <w:vertAlign w:val="superscript"/>
    </w:rPr>
  </w:style>
  <w:style w:type="paragraph" w:styleId="Revision">
    <w:name w:val="Revision"/>
    <w:hidden/>
    <w:uiPriority w:val="99"/>
    <w:semiHidden/>
    <w:rsid w:val="00552D72"/>
    <w:rPr>
      <w:rFonts w:ascii="Times New Roman" w:eastAsia="Times New Roman" w:hAnsi="Times New Roman"/>
      <w:sz w:val="24"/>
      <w:lang w:val="en-GB" w:eastAsia="en-AU"/>
    </w:rPr>
  </w:style>
  <w:style w:type="paragraph" w:styleId="NoSpacing">
    <w:name w:val="No Spacing"/>
    <w:uiPriority w:val="1"/>
    <w:qFormat/>
    <w:rsid w:val="00367BD4"/>
    <w:rPr>
      <w:rFonts w:ascii="Times New Roman" w:eastAsia="Times New Roman" w:hAnsi="Times New Roman"/>
      <w:sz w:val="24"/>
      <w:szCs w:val="24"/>
      <w:lang w:val="en-AU" w:eastAsia="en-AU"/>
    </w:rPr>
  </w:style>
  <w:style w:type="character" w:customStyle="1" w:styleId="Mention1">
    <w:name w:val="Mention1"/>
    <w:uiPriority w:val="99"/>
    <w:semiHidden/>
    <w:unhideWhenUsed/>
    <w:rsid w:val="006A11F2"/>
    <w:rPr>
      <w:color w:val="2B579A"/>
      <w:shd w:val="clear" w:color="auto" w:fill="E6E6E6"/>
    </w:rPr>
  </w:style>
  <w:style w:type="paragraph" w:customStyle="1" w:styleId="paragraph">
    <w:name w:val="paragraph"/>
    <w:basedOn w:val="Normal"/>
    <w:rsid w:val="00A02A67"/>
    <w:pPr>
      <w:spacing w:before="100" w:beforeAutospacing="1" w:after="100" w:afterAutospacing="1"/>
    </w:pPr>
    <w:rPr>
      <w:szCs w:val="24"/>
      <w:lang w:val="en-AU"/>
    </w:rPr>
  </w:style>
  <w:style w:type="character" w:customStyle="1" w:styleId="normaltextrun">
    <w:name w:val="normaltextrun"/>
    <w:basedOn w:val="DefaultParagraphFont"/>
    <w:rsid w:val="00A02A67"/>
  </w:style>
  <w:style w:type="character" w:customStyle="1" w:styleId="contextualspellingandgrammarerror">
    <w:name w:val="contextualspellingandgrammarerror"/>
    <w:basedOn w:val="DefaultParagraphFont"/>
    <w:rsid w:val="00A02A67"/>
  </w:style>
  <w:style w:type="character" w:customStyle="1" w:styleId="eop">
    <w:name w:val="eop"/>
    <w:basedOn w:val="DefaultParagraphFont"/>
    <w:rsid w:val="00A02A67"/>
  </w:style>
  <w:style w:type="character" w:customStyle="1" w:styleId="advancedproofingissue">
    <w:name w:val="advancedproofingissue"/>
    <w:basedOn w:val="DefaultParagraphFont"/>
    <w:rsid w:val="00093D8E"/>
  </w:style>
  <w:style w:type="paragraph" w:customStyle="1" w:styleId="Default">
    <w:name w:val="Default"/>
    <w:rsid w:val="0045076E"/>
    <w:pPr>
      <w:autoSpaceDE w:val="0"/>
      <w:autoSpaceDN w:val="0"/>
      <w:adjustRightInd w:val="0"/>
    </w:pPr>
    <w:rPr>
      <w:rFonts w:ascii="Arial" w:hAnsi="Arial" w:cs="Arial"/>
      <w:color w:val="000000"/>
      <w:sz w:val="24"/>
      <w:szCs w:val="24"/>
      <w:lang w:val="en-AU"/>
    </w:rPr>
  </w:style>
  <w:style w:type="character" w:customStyle="1" w:styleId="CommentTextChar">
    <w:name w:val="Comment Text Char"/>
    <w:basedOn w:val="DefaultParagraphFont"/>
    <w:link w:val="CommentText"/>
    <w:semiHidden/>
    <w:rsid w:val="00DB3C25"/>
    <w:rPr>
      <w:rFonts w:ascii="Times New Roman" w:eastAsia="Times New Roman" w:hAnsi="Times New Roman"/>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2532">
      <w:bodyDiv w:val="1"/>
      <w:marLeft w:val="0"/>
      <w:marRight w:val="0"/>
      <w:marTop w:val="0"/>
      <w:marBottom w:val="0"/>
      <w:divBdr>
        <w:top w:val="none" w:sz="0" w:space="0" w:color="auto"/>
        <w:left w:val="none" w:sz="0" w:space="0" w:color="auto"/>
        <w:bottom w:val="none" w:sz="0" w:space="0" w:color="auto"/>
        <w:right w:val="none" w:sz="0" w:space="0" w:color="auto"/>
      </w:divBdr>
    </w:div>
    <w:div w:id="98139038">
      <w:bodyDiv w:val="1"/>
      <w:marLeft w:val="0"/>
      <w:marRight w:val="0"/>
      <w:marTop w:val="0"/>
      <w:marBottom w:val="0"/>
      <w:divBdr>
        <w:top w:val="none" w:sz="0" w:space="0" w:color="auto"/>
        <w:left w:val="none" w:sz="0" w:space="0" w:color="auto"/>
        <w:bottom w:val="none" w:sz="0" w:space="0" w:color="auto"/>
        <w:right w:val="none" w:sz="0" w:space="0" w:color="auto"/>
      </w:divBdr>
      <w:divsChild>
        <w:div w:id="532352648">
          <w:marLeft w:val="0"/>
          <w:marRight w:val="0"/>
          <w:marTop w:val="0"/>
          <w:marBottom w:val="0"/>
          <w:divBdr>
            <w:top w:val="none" w:sz="0" w:space="0" w:color="auto"/>
            <w:left w:val="none" w:sz="0" w:space="0" w:color="auto"/>
            <w:bottom w:val="none" w:sz="0" w:space="0" w:color="auto"/>
            <w:right w:val="none" w:sz="0" w:space="0" w:color="auto"/>
          </w:divBdr>
        </w:div>
        <w:div w:id="55472360">
          <w:marLeft w:val="0"/>
          <w:marRight w:val="0"/>
          <w:marTop w:val="0"/>
          <w:marBottom w:val="0"/>
          <w:divBdr>
            <w:top w:val="none" w:sz="0" w:space="0" w:color="auto"/>
            <w:left w:val="none" w:sz="0" w:space="0" w:color="auto"/>
            <w:bottom w:val="none" w:sz="0" w:space="0" w:color="auto"/>
            <w:right w:val="none" w:sz="0" w:space="0" w:color="auto"/>
          </w:divBdr>
        </w:div>
        <w:div w:id="801269518">
          <w:marLeft w:val="0"/>
          <w:marRight w:val="0"/>
          <w:marTop w:val="0"/>
          <w:marBottom w:val="0"/>
          <w:divBdr>
            <w:top w:val="none" w:sz="0" w:space="0" w:color="auto"/>
            <w:left w:val="none" w:sz="0" w:space="0" w:color="auto"/>
            <w:bottom w:val="none" w:sz="0" w:space="0" w:color="auto"/>
            <w:right w:val="none" w:sz="0" w:space="0" w:color="auto"/>
          </w:divBdr>
        </w:div>
        <w:div w:id="510920137">
          <w:marLeft w:val="0"/>
          <w:marRight w:val="0"/>
          <w:marTop w:val="0"/>
          <w:marBottom w:val="0"/>
          <w:divBdr>
            <w:top w:val="none" w:sz="0" w:space="0" w:color="auto"/>
            <w:left w:val="none" w:sz="0" w:space="0" w:color="auto"/>
            <w:bottom w:val="none" w:sz="0" w:space="0" w:color="auto"/>
            <w:right w:val="none" w:sz="0" w:space="0" w:color="auto"/>
          </w:divBdr>
        </w:div>
        <w:div w:id="1998921387">
          <w:marLeft w:val="0"/>
          <w:marRight w:val="0"/>
          <w:marTop w:val="0"/>
          <w:marBottom w:val="0"/>
          <w:divBdr>
            <w:top w:val="none" w:sz="0" w:space="0" w:color="auto"/>
            <w:left w:val="none" w:sz="0" w:space="0" w:color="auto"/>
            <w:bottom w:val="none" w:sz="0" w:space="0" w:color="auto"/>
            <w:right w:val="none" w:sz="0" w:space="0" w:color="auto"/>
          </w:divBdr>
        </w:div>
      </w:divsChild>
    </w:div>
    <w:div w:id="326058882">
      <w:bodyDiv w:val="1"/>
      <w:marLeft w:val="0"/>
      <w:marRight w:val="0"/>
      <w:marTop w:val="0"/>
      <w:marBottom w:val="0"/>
      <w:divBdr>
        <w:top w:val="none" w:sz="0" w:space="0" w:color="auto"/>
        <w:left w:val="none" w:sz="0" w:space="0" w:color="auto"/>
        <w:bottom w:val="none" w:sz="0" w:space="0" w:color="auto"/>
        <w:right w:val="none" w:sz="0" w:space="0" w:color="auto"/>
      </w:divBdr>
    </w:div>
    <w:div w:id="423653956">
      <w:bodyDiv w:val="1"/>
      <w:marLeft w:val="0"/>
      <w:marRight w:val="0"/>
      <w:marTop w:val="0"/>
      <w:marBottom w:val="0"/>
      <w:divBdr>
        <w:top w:val="none" w:sz="0" w:space="0" w:color="auto"/>
        <w:left w:val="none" w:sz="0" w:space="0" w:color="auto"/>
        <w:bottom w:val="none" w:sz="0" w:space="0" w:color="auto"/>
        <w:right w:val="none" w:sz="0" w:space="0" w:color="auto"/>
      </w:divBdr>
    </w:div>
    <w:div w:id="585383297">
      <w:bodyDiv w:val="1"/>
      <w:marLeft w:val="0"/>
      <w:marRight w:val="0"/>
      <w:marTop w:val="0"/>
      <w:marBottom w:val="0"/>
      <w:divBdr>
        <w:top w:val="none" w:sz="0" w:space="0" w:color="auto"/>
        <w:left w:val="none" w:sz="0" w:space="0" w:color="auto"/>
        <w:bottom w:val="none" w:sz="0" w:space="0" w:color="auto"/>
        <w:right w:val="none" w:sz="0" w:space="0" w:color="auto"/>
      </w:divBdr>
    </w:div>
    <w:div w:id="635840492">
      <w:bodyDiv w:val="1"/>
      <w:marLeft w:val="0"/>
      <w:marRight w:val="0"/>
      <w:marTop w:val="0"/>
      <w:marBottom w:val="0"/>
      <w:divBdr>
        <w:top w:val="none" w:sz="0" w:space="0" w:color="auto"/>
        <w:left w:val="none" w:sz="0" w:space="0" w:color="auto"/>
        <w:bottom w:val="none" w:sz="0" w:space="0" w:color="auto"/>
        <w:right w:val="none" w:sz="0" w:space="0" w:color="auto"/>
      </w:divBdr>
    </w:div>
    <w:div w:id="1443577265">
      <w:bodyDiv w:val="1"/>
      <w:marLeft w:val="0"/>
      <w:marRight w:val="0"/>
      <w:marTop w:val="0"/>
      <w:marBottom w:val="0"/>
      <w:divBdr>
        <w:top w:val="none" w:sz="0" w:space="0" w:color="auto"/>
        <w:left w:val="none" w:sz="0" w:space="0" w:color="auto"/>
        <w:bottom w:val="none" w:sz="0" w:space="0" w:color="auto"/>
        <w:right w:val="none" w:sz="0" w:space="0" w:color="auto"/>
      </w:divBdr>
    </w:div>
    <w:div w:id="1699965042">
      <w:bodyDiv w:val="1"/>
      <w:marLeft w:val="0"/>
      <w:marRight w:val="0"/>
      <w:marTop w:val="0"/>
      <w:marBottom w:val="0"/>
      <w:divBdr>
        <w:top w:val="none" w:sz="0" w:space="0" w:color="auto"/>
        <w:left w:val="none" w:sz="0" w:space="0" w:color="auto"/>
        <w:bottom w:val="none" w:sz="0" w:space="0" w:color="auto"/>
        <w:right w:val="none" w:sz="0" w:space="0" w:color="auto"/>
      </w:divBdr>
    </w:div>
    <w:div w:id="187538074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acn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nc.gov.au/advocacy-charit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CNC">
      <a:dk1>
        <a:srgbClr val="666666"/>
      </a:dk1>
      <a:lt1>
        <a:sysClr val="window" lastClr="FFFFFF"/>
      </a:lt1>
      <a:dk2>
        <a:srgbClr val="000000"/>
      </a:dk2>
      <a:lt2>
        <a:srgbClr val="E7E6E6"/>
      </a:lt2>
      <a:accent1>
        <a:srgbClr val="245A8F"/>
      </a:accent1>
      <a:accent2>
        <a:srgbClr val="97CDD0"/>
      </a:accent2>
      <a:accent3>
        <a:srgbClr val="338177"/>
      </a:accent3>
      <a:accent4>
        <a:srgbClr val="669933"/>
      </a:accent4>
      <a:accent5>
        <a:srgbClr val="CCCC33"/>
      </a:accent5>
      <a:accent6>
        <a:srgbClr val="FFFFFF"/>
      </a:accent6>
      <a:hlink>
        <a:srgbClr val="245A8F"/>
      </a:hlink>
      <a:folHlink>
        <a:srgbClr val="66666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C214FC4FEEF418C97811A6FF2228F" ma:contentTypeVersion="10" ma:contentTypeDescription="Create a new document." ma:contentTypeScope="" ma:versionID="4d91d84de6db8f2ef1e158a66d26e1dc">
  <xsd:schema xmlns:xsd="http://www.w3.org/2001/XMLSchema" xmlns:xs="http://www.w3.org/2001/XMLSchema" xmlns:p="http://schemas.microsoft.com/office/2006/metadata/properties" xmlns:ns3="8a1f78de-d19b-4a3f-baf3-9d4340851d82" xmlns:ns4="d3603b3a-8fe4-49df-822c-a6a3ea92bf74" targetNamespace="http://schemas.microsoft.com/office/2006/metadata/properties" ma:root="true" ma:fieldsID="a65a19dd8715b54240f7b8ce2a9c3808" ns3:_="" ns4:_="">
    <xsd:import namespace="8a1f78de-d19b-4a3f-baf3-9d4340851d82"/>
    <xsd:import namespace="d3603b3a-8fe4-49df-822c-a6a3ea92bf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f78de-d19b-4a3f-baf3-9d4340851d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03b3a-8fe4-49df-822c-a6a3ea92bf7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2D5EF-F18F-4D66-8F0D-5CD78A582FAC}">
  <ds:schemaRefs>
    <ds:schemaRef ds:uri="http://purl.org/dc/elements/1.1/"/>
    <ds:schemaRef ds:uri="http://schemas.microsoft.com/office/2006/metadata/properties"/>
    <ds:schemaRef ds:uri="d3603b3a-8fe4-49df-822c-a6a3ea92bf7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1f78de-d19b-4a3f-baf3-9d4340851d82"/>
    <ds:schemaRef ds:uri="http://www.w3.org/XML/1998/namespace"/>
    <ds:schemaRef ds:uri="http://purl.org/dc/dcmitype/"/>
  </ds:schemaRefs>
</ds:datastoreItem>
</file>

<file path=customXml/itemProps2.xml><?xml version="1.0" encoding="utf-8"?>
<ds:datastoreItem xmlns:ds="http://schemas.openxmlformats.org/officeDocument/2006/customXml" ds:itemID="{12ADF3C2-1ABD-4158-9CE2-01A9C25A4F3F}">
  <ds:schemaRefs>
    <ds:schemaRef ds:uri="http://schemas.microsoft.com/sharepoint/v3/contenttype/forms"/>
  </ds:schemaRefs>
</ds:datastoreItem>
</file>

<file path=customXml/itemProps3.xml><?xml version="1.0" encoding="utf-8"?>
<ds:datastoreItem xmlns:ds="http://schemas.openxmlformats.org/officeDocument/2006/customXml" ds:itemID="{20E9B2F1-A7BC-421B-B1AB-6B01395EF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f78de-d19b-4a3f-baf3-9d4340851d82"/>
    <ds:schemaRef ds:uri="d3603b3a-8fe4-49df-822c-a6a3ea92b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973BE-70DC-4D81-9F50-2C7EA518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6540</Characters>
  <Application>Microsoft Office Word</Application>
  <DocSecurity>6</DocSecurity>
  <Lines>54</Lines>
  <Paragraphs>15</Paragraphs>
  <ScaleCrop>false</ScaleCrop>
  <HeadingPairs>
    <vt:vector size="2" baseType="variant">
      <vt:variant>
        <vt:lpstr>Title</vt:lpstr>
      </vt:variant>
      <vt:variant>
        <vt:i4>1</vt:i4>
      </vt:variant>
    </vt:vector>
  </HeadingPairs>
  <TitlesOfParts>
    <vt:vector size="1" baseType="lpstr">
      <vt:lpstr>Mr/ Mrs/ Ms [First Name Surname]</vt:lpstr>
    </vt:vector>
  </TitlesOfParts>
  <Company>ATO</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Mrs/ Ms [First Name Surname]</dc:title>
  <dc:creator>ub75g</dc:creator>
  <cp:lastModifiedBy>Breanna Murray</cp:lastModifiedBy>
  <cp:revision>2</cp:revision>
  <cp:lastPrinted>2017-10-02T09:13:00Z</cp:lastPrinted>
  <dcterms:created xsi:type="dcterms:W3CDTF">2019-10-02T23:34:00Z</dcterms:created>
  <dcterms:modified xsi:type="dcterms:W3CDTF">2019-10-02T23:34:00Z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0x010100FC5C214FC4FEEF418C97811A6FF2228F</vt:lpwstr>
  </property>
</Properties>
</file>