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CD2C1" w14:textId="3AE3A38F" w:rsidR="00524358" w:rsidRPr="00825584" w:rsidRDefault="005C0E1F" w:rsidP="00524358">
      <w:pPr>
        <w:jc w:val="right"/>
        <w:rPr>
          <w:rFonts w:ascii="Arial" w:hAnsi="Arial" w:cs="Arial"/>
          <w:sz w:val="22"/>
          <w:szCs w:val="22"/>
          <w:highlight w:val="cyan"/>
        </w:rPr>
      </w:pPr>
      <w:bookmarkStart w:id="0" w:name="_GoBack"/>
      <w:bookmarkEnd w:id="0"/>
      <w:r w:rsidRPr="005C0E1F">
        <w:rPr>
          <w:rFonts w:ascii="Arial" w:hAnsi="Arial" w:cs="Arial"/>
          <w:sz w:val="22"/>
          <w:szCs w:val="22"/>
        </w:rPr>
        <w:t>03</w:t>
      </w:r>
      <w:r w:rsidR="00825584" w:rsidRPr="005C0E1F">
        <w:rPr>
          <w:rFonts w:ascii="Arial" w:hAnsi="Arial" w:cs="Arial"/>
          <w:sz w:val="22"/>
          <w:szCs w:val="22"/>
        </w:rPr>
        <w:t xml:space="preserve"> </w:t>
      </w:r>
      <w:r w:rsidR="00825584" w:rsidRPr="00825584">
        <w:rPr>
          <w:rFonts w:ascii="Arial" w:hAnsi="Arial" w:cs="Arial"/>
          <w:sz w:val="22"/>
          <w:szCs w:val="22"/>
        </w:rPr>
        <w:t>September 2019</w:t>
      </w:r>
    </w:p>
    <w:p w14:paraId="2498A766" w14:textId="77777777" w:rsidR="00524358" w:rsidRPr="00825584" w:rsidRDefault="00524358" w:rsidP="00D77796">
      <w:pPr>
        <w:rPr>
          <w:rFonts w:ascii="Arial" w:hAnsi="Arial" w:cs="Arial"/>
          <w:sz w:val="22"/>
          <w:szCs w:val="22"/>
        </w:rPr>
      </w:pPr>
    </w:p>
    <w:p w14:paraId="06847DE8" w14:textId="156AF4F7" w:rsidR="0045076E" w:rsidRPr="00825584" w:rsidRDefault="00825584" w:rsidP="00D77796">
      <w:pPr>
        <w:rPr>
          <w:rFonts w:ascii="Arial" w:hAnsi="Arial" w:cs="Arial"/>
          <w:sz w:val="22"/>
          <w:szCs w:val="22"/>
        </w:rPr>
      </w:pPr>
      <w:r w:rsidRPr="00825584">
        <w:rPr>
          <w:rFonts w:ascii="Arial" w:hAnsi="Arial" w:cs="Arial"/>
          <w:sz w:val="22"/>
          <w:szCs w:val="22"/>
        </w:rPr>
        <w:t>Committee Secretary</w:t>
      </w:r>
    </w:p>
    <w:p w14:paraId="1DB49492" w14:textId="77777777" w:rsidR="00825584" w:rsidRPr="00825584" w:rsidRDefault="00825584" w:rsidP="00D77796">
      <w:pPr>
        <w:rPr>
          <w:rFonts w:ascii="Arial" w:hAnsi="Arial" w:cs="Arial"/>
          <w:sz w:val="22"/>
          <w:szCs w:val="22"/>
        </w:rPr>
      </w:pPr>
      <w:r w:rsidRPr="00825584">
        <w:rPr>
          <w:rFonts w:ascii="Arial" w:hAnsi="Arial" w:cs="Arial"/>
          <w:sz w:val="22"/>
          <w:szCs w:val="22"/>
        </w:rPr>
        <w:t>Joint Standing Committee on Electoral Matters</w:t>
      </w:r>
    </w:p>
    <w:p w14:paraId="03DF2A01" w14:textId="4DA758E2" w:rsidR="00D13432" w:rsidRPr="00825584" w:rsidRDefault="00825584" w:rsidP="00D77796">
      <w:pPr>
        <w:rPr>
          <w:rFonts w:ascii="Arial" w:hAnsi="Arial" w:cs="Arial"/>
          <w:sz w:val="22"/>
          <w:szCs w:val="22"/>
        </w:rPr>
      </w:pPr>
      <w:r w:rsidRPr="00825584">
        <w:rPr>
          <w:rFonts w:ascii="Arial" w:hAnsi="Arial" w:cs="Arial"/>
          <w:sz w:val="22"/>
          <w:szCs w:val="22"/>
        </w:rPr>
        <w:t>Department of the House of Representatives</w:t>
      </w:r>
    </w:p>
    <w:p w14:paraId="7F02489C" w14:textId="2A584D22" w:rsidR="00524358" w:rsidRPr="00825584" w:rsidRDefault="00825584" w:rsidP="00D77796">
      <w:pPr>
        <w:rPr>
          <w:rFonts w:ascii="Arial" w:hAnsi="Arial" w:cs="Arial"/>
          <w:sz w:val="22"/>
          <w:szCs w:val="22"/>
        </w:rPr>
      </w:pPr>
      <w:r w:rsidRPr="00825584">
        <w:rPr>
          <w:rFonts w:ascii="Arial" w:hAnsi="Arial" w:cs="Arial"/>
          <w:sz w:val="22"/>
          <w:szCs w:val="22"/>
        </w:rPr>
        <w:t>PO Box 6021</w:t>
      </w:r>
    </w:p>
    <w:p w14:paraId="1893D2FE" w14:textId="3EF160EC" w:rsidR="00825584" w:rsidRPr="00825584" w:rsidRDefault="00825584" w:rsidP="00D77796">
      <w:pPr>
        <w:rPr>
          <w:rFonts w:ascii="Arial" w:hAnsi="Arial" w:cs="Arial"/>
          <w:sz w:val="22"/>
          <w:szCs w:val="22"/>
        </w:rPr>
      </w:pPr>
      <w:r w:rsidRPr="00825584">
        <w:rPr>
          <w:rFonts w:ascii="Arial" w:hAnsi="Arial" w:cs="Arial"/>
          <w:sz w:val="22"/>
          <w:szCs w:val="22"/>
        </w:rPr>
        <w:t>Parliament House</w:t>
      </w:r>
    </w:p>
    <w:p w14:paraId="2F958BB1" w14:textId="55A04BE1" w:rsidR="00524358" w:rsidRPr="00825584" w:rsidRDefault="00825584" w:rsidP="00D77796">
      <w:pPr>
        <w:rPr>
          <w:rFonts w:ascii="Arial" w:hAnsi="Arial" w:cs="Arial"/>
          <w:sz w:val="22"/>
          <w:szCs w:val="22"/>
        </w:rPr>
      </w:pPr>
      <w:r w:rsidRPr="00825584">
        <w:rPr>
          <w:rFonts w:ascii="Arial" w:hAnsi="Arial" w:cs="Arial"/>
          <w:sz w:val="22"/>
          <w:szCs w:val="22"/>
        </w:rPr>
        <w:t>CANBERRA ACT 2600</w:t>
      </w:r>
    </w:p>
    <w:p w14:paraId="2A1CD997" w14:textId="76E3212B" w:rsidR="00093D8E" w:rsidRDefault="00093D8E" w:rsidP="00D77796">
      <w:pPr>
        <w:rPr>
          <w:rFonts w:ascii="Arial" w:hAnsi="Arial" w:cs="Arial"/>
          <w:sz w:val="22"/>
          <w:szCs w:val="22"/>
        </w:rPr>
      </w:pPr>
    </w:p>
    <w:p w14:paraId="027C5BCC" w14:textId="7C2224B3" w:rsidR="00825584" w:rsidRPr="005C0E1F" w:rsidRDefault="00825584" w:rsidP="00D77796">
      <w:pPr>
        <w:rPr>
          <w:rFonts w:ascii="Arial" w:hAnsi="Arial" w:cs="Arial"/>
          <w:b/>
          <w:sz w:val="22"/>
          <w:szCs w:val="22"/>
        </w:rPr>
      </w:pPr>
      <w:r w:rsidRPr="005C0E1F">
        <w:rPr>
          <w:rFonts w:ascii="Arial" w:hAnsi="Arial" w:cs="Arial"/>
          <w:b/>
          <w:sz w:val="22"/>
          <w:szCs w:val="22"/>
        </w:rPr>
        <w:t>BY EMAIL: em</w:t>
      </w:r>
      <w:r w:rsidR="00612269" w:rsidRPr="005C0E1F">
        <w:rPr>
          <w:rFonts w:ascii="Arial" w:hAnsi="Arial" w:cs="Arial"/>
          <w:b/>
          <w:sz w:val="22"/>
          <w:szCs w:val="22"/>
        </w:rPr>
        <w:t>@aph.gov.au</w:t>
      </w:r>
    </w:p>
    <w:p w14:paraId="4A63802A" w14:textId="70F8CDAC" w:rsidR="00425985" w:rsidRPr="005C0E1F" w:rsidRDefault="00AE5822" w:rsidP="00AE5822">
      <w:pPr>
        <w:jc w:val="right"/>
        <w:rPr>
          <w:rFonts w:ascii="Arial" w:hAnsi="Arial" w:cs="Arial"/>
          <w:sz w:val="19"/>
          <w:szCs w:val="19"/>
        </w:rPr>
      </w:pPr>
      <w:r w:rsidRPr="005C0E1F">
        <w:rPr>
          <w:rFonts w:ascii="Arial" w:hAnsi="Arial" w:cs="Arial"/>
          <w:sz w:val="19"/>
          <w:szCs w:val="19"/>
        </w:rPr>
        <w:t xml:space="preserve">Our reference: </w:t>
      </w:r>
      <w:r w:rsidR="005C0E1F" w:rsidRPr="005C0E1F">
        <w:rPr>
          <w:rFonts w:ascii="Arial" w:hAnsi="Arial" w:cs="Arial"/>
          <w:sz w:val="19"/>
          <w:szCs w:val="19"/>
        </w:rPr>
        <w:t>EXT2019/93</w:t>
      </w:r>
    </w:p>
    <w:p w14:paraId="62D5B299" w14:textId="77777777" w:rsidR="00A02A67" w:rsidRPr="00825584" w:rsidRDefault="00A02A67" w:rsidP="00D77796">
      <w:pPr>
        <w:rPr>
          <w:rFonts w:ascii="Arial" w:hAnsi="Arial" w:cs="Arial"/>
          <w:sz w:val="22"/>
          <w:szCs w:val="22"/>
          <w:highlight w:val="cyan"/>
        </w:rPr>
      </w:pPr>
    </w:p>
    <w:p w14:paraId="267712DF" w14:textId="691AB141" w:rsidR="00DE433D" w:rsidRPr="00612269" w:rsidRDefault="00612269" w:rsidP="00DE433D">
      <w:pPr>
        <w:pStyle w:val="paragraph"/>
        <w:spacing w:before="0" w:beforeAutospacing="0" w:after="0" w:afterAutospacing="0"/>
        <w:textAlignment w:val="baseline"/>
        <w:rPr>
          <w:rFonts w:ascii="Arial" w:hAnsi="Arial" w:cs="Arial"/>
          <w:sz w:val="22"/>
          <w:szCs w:val="22"/>
        </w:rPr>
      </w:pPr>
      <w:r w:rsidRPr="00612269">
        <w:rPr>
          <w:rStyle w:val="normaltextrun"/>
          <w:rFonts w:ascii="Arial" w:hAnsi="Arial" w:cs="Arial"/>
          <w:b/>
          <w:bCs/>
          <w:iCs/>
          <w:sz w:val="22"/>
          <w:szCs w:val="22"/>
        </w:rPr>
        <w:t xml:space="preserve">ACNC Submission to the Inquiry into the 2019 </w:t>
      </w:r>
      <w:r>
        <w:rPr>
          <w:rStyle w:val="normaltextrun"/>
          <w:rFonts w:ascii="Arial" w:hAnsi="Arial" w:cs="Arial"/>
          <w:b/>
          <w:bCs/>
          <w:iCs/>
          <w:sz w:val="22"/>
          <w:szCs w:val="22"/>
        </w:rPr>
        <w:t xml:space="preserve">Federal </w:t>
      </w:r>
      <w:r w:rsidRPr="00612269">
        <w:rPr>
          <w:rStyle w:val="normaltextrun"/>
          <w:rFonts w:ascii="Arial" w:hAnsi="Arial" w:cs="Arial"/>
          <w:b/>
          <w:bCs/>
          <w:iCs/>
          <w:sz w:val="22"/>
          <w:szCs w:val="22"/>
        </w:rPr>
        <w:t>Election</w:t>
      </w:r>
    </w:p>
    <w:p w14:paraId="324EE4C8" w14:textId="77777777" w:rsidR="00612269" w:rsidRDefault="00612269" w:rsidP="00612269">
      <w:pPr>
        <w:pStyle w:val="ListParagraph"/>
        <w:ind w:left="360"/>
        <w:rPr>
          <w:rFonts w:ascii="Arial" w:hAnsi="Arial" w:cs="Arial"/>
          <w:sz w:val="22"/>
          <w:szCs w:val="22"/>
        </w:rPr>
      </w:pPr>
    </w:p>
    <w:p w14:paraId="28C8625C" w14:textId="7C3A4EE3" w:rsidR="00D77796" w:rsidRDefault="00612269" w:rsidP="00612269">
      <w:pPr>
        <w:pStyle w:val="ListParagraph"/>
        <w:numPr>
          <w:ilvl w:val="0"/>
          <w:numId w:val="36"/>
        </w:numPr>
        <w:rPr>
          <w:rFonts w:ascii="Arial" w:hAnsi="Arial" w:cs="Arial"/>
          <w:sz w:val="22"/>
          <w:szCs w:val="22"/>
        </w:rPr>
      </w:pPr>
      <w:r w:rsidRPr="00612269">
        <w:rPr>
          <w:rFonts w:ascii="Arial" w:hAnsi="Arial" w:cs="Arial"/>
          <w:sz w:val="22"/>
          <w:szCs w:val="22"/>
        </w:rPr>
        <w:t>The Australian Charities and Not-for-profits Commission (</w:t>
      </w:r>
      <w:r w:rsidRPr="00612269">
        <w:rPr>
          <w:rFonts w:ascii="Arial" w:hAnsi="Arial" w:cs="Arial"/>
          <w:b/>
          <w:sz w:val="22"/>
          <w:szCs w:val="22"/>
        </w:rPr>
        <w:t>ACNC</w:t>
      </w:r>
      <w:r w:rsidRPr="00612269">
        <w:rPr>
          <w:rFonts w:ascii="Arial" w:hAnsi="Arial" w:cs="Arial"/>
          <w:sz w:val="22"/>
          <w:szCs w:val="22"/>
        </w:rPr>
        <w:t>) welcomes the opportunity to provide a submission to</w:t>
      </w:r>
      <w:r>
        <w:rPr>
          <w:rFonts w:ascii="Arial" w:hAnsi="Arial" w:cs="Arial"/>
          <w:sz w:val="22"/>
          <w:szCs w:val="22"/>
        </w:rPr>
        <w:t xml:space="preserve"> the Joint Standing Committee on Electoral Matters’ (</w:t>
      </w:r>
      <w:r w:rsidRPr="00612269">
        <w:rPr>
          <w:rFonts w:ascii="Arial" w:hAnsi="Arial" w:cs="Arial"/>
          <w:b/>
          <w:sz w:val="22"/>
          <w:szCs w:val="22"/>
        </w:rPr>
        <w:t>JSCEM</w:t>
      </w:r>
      <w:r>
        <w:rPr>
          <w:rFonts w:ascii="Arial" w:hAnsi="Arial" w:cs="Arial"/>
          <w:sz w:val="22"/>
          <w:szCs w:val="22"/>
        </w:rPr>
        <w:t>) Inquiry into the 2019 Federal Election and matters related thereto (</w:t>
      </w:r>
      <w:r w:rsidRPr="00612269">
        <w:rPr>
          <w:rFonts w:ascii="Arial" w:hAnsi="Arial" w:cs="Arial"/>
          <w:b/>
          <w:sz w:val="22"/>
          <w:szCs w:val="22"/>
        </w:rPr>
        <w:t>the Inquiry</w:t>
      </w:r>
      <w:r>
        <w:rPr>
          <w:rFonts w:ascii="Arial" w:hAnsi="Arial" w:cs="Arial"/>
          <w:sz w:val="22"/>
          <w:szCs w:val="22"/>
        </w:rPr>
        <w:t>).</w:t>
      </w:r>
    </w:p>
    <w:p w14:paraId="41AFDC17" w14:textId="77777777" w:rsidR="00612269" w:rsidRPr="00612269" w:rsidRDefault="00612269" w:rsidP="00612269">
      <w:pPr>
        <w:pStyle w:val="ListParagraph"/>
        <w:numPr>
          <w:ilvl w:val="0"/>
          <w:numId w:val="36"/>
        </w:numPr>
        <w:rPr>
          <w:rFonts w:ascii="Arial" w:hAnsi="Arial" w:cs="Arial"/>
          <w:sz w:val="22"/>
          <w:szCs w:val="22"/>
        </w:rPr>
      </w:pPr>
      <w:r w:rsidRPr="00612269">
        <w:rPr>
          <w:rFonts w:ascii="Arial" w:hAnsi="Arial" w:cs="Arial"/>
          <w:sz w:val="22"/>
          <w:szCs w:val="22"/>
        </w:rPr>
        <w:t xml:space="preserve">The ACNC was established on 3 December 2012 by the </w:t>
      </w:r>
      <w:r w:rsidRPr="00DA7133">
        <w:rPr>
          <w:rFonts w:ascii="Arial" w:hAnsi="Arial" w:cs="Arial"/>
          <w:i/>
          <w:sz w:val="22"/>
          <w:szCs w:val="22"/>
        </w:rPr>
        <w:t>Australian Charities and Not-for-profits Commission Act 2012</w:t>
      </w:r>
      <w:r w:rsidRPr="00612269">
        <w:rPr>
          <w:rFonts w:ascii="Arial" w:hAnsi="Arial" w:cs="Arial"/>
          <w:sz w:val="22"/>
          <w:szCs w:val="22"/>
        </w:rPr>
        <w:t xml:space="preserve"> (</w:t>
      </w:r>
      <w:proofErr w:type="spellStart"/>
      <w:r w:rsidRPr="00612269">
        <w:rPr>
          <w:rFonts w:ascii="Arial" w:hAnsi="Arial" w:cs="Arial"/>
          <w:sz w:val="22"/>
          <w:szCs w:val="22"/>
        </w:rPr>
        <w:t>Cth</w:t>
      </w:r>
      <w:proofErr w:type="spellEnd"/>
      <w:r w:rsidRPr="00612269">
        <w:rPr>
          <w:rFonts w:ascii="Arial" w:hAnsi="Arial" w:cs="Arial"/>
          <w:sz w:val="22"/>
          <w:szCs w:val="22"/>
        </w:rPr>
        <w:t>) (</w:t>
      </w:r>
      <w:r w:rsidRPr="00DA7133">
        <w:rPr>
          <w:rFonts w:ascii="Arial" w:hAnsi="Arial" w:cs="Arial"/>
          <w:b/>
          <w:sz w:val="22"/>
          <w:szCs w:val="22"/>
        </w:rPr>
        <w:t>ACNC Act</w:t>
      </w:r>
      <w:r w:rsidRPr="00612269">
        <w:rPr>
          <w:rFonts w:ascii="Arial" w:hAnsi="Arial" w:cs="Arial"/>
          <w:sz w:val="22"/>
          <w:szCs w:val="22"/>
        </w:rPr>
        <w:t>). The objects of the ACNC Act are to:</w:t>
      </w:r>
    </w:p>
    <w:p w14:paraId="67D8E70F" w14:textId="681E1AD2" w:rsidR="00612269" w:rsidRPr="00612269" w:rsidRDefault="00612269" w:rsidP="00612269">
      <w:pPr>
        <w:pStyle w:val="ListParagraph"/>
        <w:numPr>
          <w:ilvl w:val="1"/>
          <w:numId w:val="36"/>
        </w:numPr>
        <w:rPr>
          <w:rFonts w:ascii="Arial" w:hAnsi="Arial" w:cs="Arial"/>
          <w:sz w:val="22"/>
          <w:szCs w:val="22"/>
        </w:rPr>
      </w:pPr>
      <w:r w:rsidRPr="00612269">
        <w:rPr>
          <w:rFonts w:ascii="Arial" w:hAnsi="Arial" w:cs="Arial"/>
          <w:sz w:val="22"/>
          <w:szCs w:val="22"/>
        </w:rPr>
        <w:t>maintain, protect and enhance public trust and confidence in the Australian not-for-profit sector; and</w:t>
      </w:r>
    </w:p>
    <w:p w14:paraId="341C45CB" w14:textId="6DB5F173" w:rsidR="00612269" w:rsidRPr="00612269" w:rsidRDefault="00612269" w:rsidP="00612269">
      <w:pPr>
        <w:pStyle w:val="ListParagraph"/>
        <w:numPr>
          <w:ilvl w:val="1"/>
          <w:numId w:val="36"/>
        </w:numPr>
        <w:rPr>
          <w:rFonts w:ascii="Arial" w:hAnsi="Arial" w:cs="Arial"/>
          <w:sz w:val="22"/>
          <w:szCs w:val="22"/>
        </w:rPr>
      </w:pPr>
      <w:r w:rsidRPr="00612269">
        <w:rPr>
          <w:rFonts w:ascii="Arial" w:hAnsi="Arial" w:cs="Arial"/>
          <w:sz w:val="22"/>
          <w:szCs w:val="22"/>
        </w:rPr>
        <w:t>support and sustain a robust, vibrant, independent and innovative Australian not-for-profit sector; and</w:t>
      </w:r>
    </w:p>
    <w:p w14:paraId="2AB544BC" w14:textId="36BFE20E" w:rsidR="00612269" w:rsidRPr="00612269" w:rsidRDefault="00612269" w:rsidP="00612269">
      <w:pPr>
        <w:pStyle w:val="ListParagraph"/>
        <w:numPr>
          <w:ilvl w:val="1"/>
          <w:numId w:val="36"/>
        </w:numPr>
        <w:rPr>
          <w:rFonts w:ascii="Arial" w:hAnsi="Arial" w:cs="Arial"/>
          <w:sz w:val="22"/>
          <w:szCs w:val="22"/>
        </w:rPr>
      </w:pPr>
      <w:r w:rsidRPr="00612269">
        <w:rPr>
          <w:rFonts w:ascii="Arial" w:hAnsi="Arial" w:cs="Arial"/>
          <w:sz w:val="22"/>
          <w:szCs w:val="22"/>
        </w:rPr>
        <w:t>promote the reduction of unnecessary regulatory obligations on the Australian not-for-profit sector.1</w:t>
      </w:r>
    </w:p>
    <w:p w14:paraId="512BF914" w14:textId="30FBE9DF" w:rsidR="0067728A" w:rsidRDefault="0067728A" w:rsidP="0067728A">
      <w:pPr>
        <w:pStyle w:val="ListParagraph"/>
        <w:numPr>
          <w:ilvl w:val="0"/>
          <w:numId w:val="36"/>
        </w:numPr>
        <w:rPr>
          <w:rFonts w:ascii="Arial" w:hAnsi="Arial" w:cs="Arial"/>
          <w:sz w:val="22"/>
          <w:szCs w:val="22"/>
        </w:rPr>
      </w:pPr>
      <w:r w:rsidRPr="0067728A">
        <w:rPr>
          <w:rFonts w:ascii="Arial" w:hAnsi="Arial" w:cs="Arial"/>
          <w:sz w:val="22"/>
          <w:szCs w:val="22"/>
        </w:rPr>
        <w:t>Currently the ACNC’s regulatory responsibility extends only to registered charities, as distinct from the wider NFP sector</w:t>
      </w:r>
      <w:r>
        <w:rPr>
          <w:rFonts w:ascii="Arial" w:hAnsi="Arial" w:cs="Arial"/>
          <w:sz w:val="22"/>
          <w:szCs w:val="22"/>
        </w:rPr>
        <w:t>.</w:t>
      </w:r>
    </w:p>
    <w:p w14:paraId="63F14323" w14:textId="00466682" w:rsidR="00612269" w:rsidRDefault="00612269" w:rsidP="00612269">
      <w:pPr>
        <w:pStyle w:val="ListParagraph"/>
        <w:numPr>
          <w:ilvl w:val="0"/>
          <w:numId w:val="36"/>
        </w:numPr>
        <w:rPr>
          <w:rFonts w:ascii="Arial" w:hAnsi="Arial" w:cs="Arial"/>
          <w:sz w:val="22"/>
          <w:szCs w:val="22"/>
        </w:rPr>
      </w:pPr>
      <w:r>
        <w:rPr>
          <w:rFonts w:ascii="Arial" w:hAnsi="Arial" w:cs="Arial"/>
          <w:sz w:val="22"/>
          <w:szCs w:val="22"/>
        </w:rPr>
        <w:t>Nearly</w:t>
      </w:r>
      <w:r w:rsidRPr="00612269">
        <w:rPr>
          <w:rFonts w:ascii="Arial" w:hAnsi="Arial" w:cs="Arial"/>
          <w:sz w:val="22"/>
          <w:szCs w:val="22"/>
        </w:rPr>
        <w:t xml:space="preserve"> 5</w:t>
      </w:r>
      <w:r>
        <w:rPr>
          <w:rFonts w:ascii="Arial" w:hAnsi="Arial" w:cs="Arial"/>
          <w:sz w:val="22"/>
          <w:szCs w:val="22"/>
        </w:rPr>
        <w:t>8</w:t>
      </w:r>
      <w:r w:rsidRPr="00612269">
        <w:rPr>
          <w:rFonts w:ascii="Arial" w:hAnsi="Arial" w:cs="Arial"/>
          <w:sz w:val="22"/>
          <w:szCs w:val="22"/>
        </w:rPr>
        <w:t>,000 charities are regulated by the ACNC</w:t>
      </w:r>
      <w:r>
        <w:rPr>
          <w:rStyle w:val="FootnoteReference"/>
          <w:rFonts w:ascii="Arial" w:hAnsi="Arial" w:cs="Arial"/>
          <w:sz w:val="22"/>
          <w:szCs w:val="22"/>
        </w:rPr>
        <w:footnoteReference w:id="1"/>
      </w:r>
      <w:r w:rsidRPr="00612269">
        <w:rPr>
          <w:rFonts w:ascii="Arial" w:hAnsi="Arial" w:cs="Arial"/>
          <w:sz w:val="22"/>
          <w:szCs w:val="22"/>
        </w:rPr>
        <w:t>. Australia’s charities deliver services, make grants and perform a wide range of other activities to advance health, education, welfare, religious and other charitable causes. Charities range in size from extra small (less than $50,000 –</w:t>
      </w:r>
      <w:r w:rsidR="0067728A">
        <w:rPr>
          <w:rFonts w:ascii="Arial" w:hAnsi="Arial" w:cs="Arial"/>
          <w:sz w:val="22"/>
          <w:szCs w:val="22"/>
        </w:rPr>
        <w:t>36</w:t>
      </w:r>
      <w:r w:rsidRPr="00612269">
        <w:rPr>
          <w:rFonts w:ascii="Arial" w:hAnsi="Arial" w:cs="Arial"/>
          <w:sz w:val="22"/>
          <w:szCs w:val="22"/>
        </w:rPr>
        <w:t>% of all charities) to extra</w:t>
      </w:r>
      <w:r w:rsidR="00E42B42">
        <w:rPr>
          <w:rFonts w:ascii="Arial" w:hAnsi="Arial" w:cs="Arial"/>
          <w:sz w:val="22"/>
          <w:szCs w:val="22"/>
        </w:rPr>
        <w:t>-</w:t>
      </w:r>
      <w:r w:rsidRPr="00612269">
        <w:rPr>
          <w:rFonts w:ascii="Arial" w:hAnsi="Arial" w:cs="Arial"/>
          <w:sz w:val="22"/>
          <w:szCs w:val="22"/>
        </w:rPr>
        <w:t xml:space="preserve">large with revenue over $100 million (less than 1% of all charities). </w:t>
      </w:r>
      <w:r w:rsidR="0067728A">
        <w:rPr>
          <w:rFonts w:ascii="Arial" w:hAnsi="Arial" w:cs="Arial"/>
          <w:sz w:val="22"/>
          <w:szCs w:val="22"/>
        </w:rPr>
        <w:t>Almost h</w:t>
      </w:r>
      <w:r w:rsidRPr="00612269">
        <w:rPr>
          <w:rFonts w:ascii="Arial" w:hAnsi="Arial" w:cs="Arial"/>
          <w:sz w:val="22"/>
          <w:szCs w:val="22"/>
        </w:rPr>
        <w:t xml:space="preserve">alf </w:t>
      </w:r>
      <w:r w:rsidR="0067728A">
        <w:rPr>
          <w:rFonts w:ascii="Arial" w:hAnsi="Arial" w:cs="Arial"/>
          <w:sz w:val="22"/>
          <w:szCs w:val="22"/>
        </w:rPr>
        <w:t xml:space="preserve">(49%) </w:t>
      </w:r>
      <w:r w:rsidRPr="00612269">
        <w:rPr>
          <w:rFonts w:ascii="Arial" w:hAnsi="Arial" w:cs="Arial"/>
          <w:sz w:val="22"/>
          <w:szCs w:val="22"/>
        </w:rPr>
        <w:t xml:space="preserve">of charities have no paid staff, and the sector is supported by </w:t>
      </w:r>
      <w:r w:rsidR="0067728A">
        <w:rPr>
          <w:rFonts w:ascii="Arial" w:hAnsi="Arial" w:cs="Arial"/>
          <w:sz w:val="22"/>
          <w:szCs w:val="22"/>
        </w:rPr>
        <w:t>3.3 million volunteers.</w:t>
      </w:r>
      <w:r w:rsidR="0067728A">
        <w:rPr>
          <w:rStyle w:val="FootnoteReference"/>
          <w:rFonts w:ascii="Arial" w:hAnsi="Arial" w:cs="Arial"/>
          <w:sz w:val="22"/>
          <w:szCs w:val="22"/>
        </w:rPr>
        <w:footnoteReference w:id="2"/>
      </w:r>
    </w:p>
    <w:p w14:paraId="75E6EF3D" w14:textId="77777777" w:rsidR="0067728A" w:rsidRDefault="0067728A" w:rsidP="0067728A">
      <w:pPr>
        <w:rPr>
          <w:rFonts w:ascii="Arial" w:hAnsi="Arial" w:cs="Arial"/>
          <w:sz w:val="22"/>
          <w:szCs w:val="22"/>
        </w:rPr>
      </w:pPr>
    </w:p>
    <w:p w14:paraId="3E64BA67" w14:textId="00AFDE11" w:rsidR="0067728A" w:rsidRPr="0067728A" w:rsidRDefault="0067728A" w:rsidP="0067728A">
      <w:pPr>
        <w:rPr>
          <w:rFonts w:ascii="Arial" w:hAnsi="Arial" w:cs="Arial"/>
          <w:b/>
          <w:sz w:val="22"/>
          <w:szCs w:val="22"/>
        </w:rPr>
      </w:pPr>
      <w:r w:rsidRPr="0067728A">
        <w:rPr>
          <w:rFonts w:ascii="Arial" w:hAnsi="Arial" w:cs="Arial"/>
          <w:b/>
          <w:sz w:val="22"/>
          <w:szCs w:val="22"/>
        </w:rPr>
        <w:t>Charity law and political activities</w:t>
      </w:r>
    </w:p>
    <w:p w14:paraId="018F88D0" w14:textId="27D72733" w:rsidR="00993C74" w:rsidRPr="00993C74" w:rsidRDefault="00993C74" w:rsidP="0067728A">
      <w:pPr>
        <w:pStyle w:val="ListParagraph"/>
        <w:numPr>
          <w:ilvl w:val="0"/>
          <w:numId w:val="36"/>
        </w:numPr>
        <w:rPr>
          <w:rFonts w:ascii="Arial" w:hAnsi="Arial" w:cs="Arial"/>
          <w:sz w:val="22"/>
          <w:szCs w:val="22"/>
        </w:rPr>
      </w:pPr>
      <w:r>
        <w:rPr>
          <w:rFonts w:ascii="Arial" w:hAnsi="Arial" w:cs="Arial"/>
          <w:sz w:val="22"/>
          <w:szCs w:val="22"/>
        </w:rPr>
        <w:t>The ACNC lodged a submission with the JSCEM in relation to the 2016 Federal Election, setting out the definition of a charity, and the concept of a disqualifying purpose.  As this is directly relevant to the federal election, this content has been included below.</w:t>
      </w:r>
    </w:p>
    <w:p w14:paraId="3F481873" w14:textId="50D7EE27" w:rsidR="0067728A" w:rsidRDefault="0067728A" w:rsidP="0067728A">
      <w:pPr>
        <w:pStyle w:val="ListParagraph"/>
        <w:numPr>
          <w:ilvl w:val="0"/>
          <w:numId w:val="36"/>
        </w:numPr>
        <w:rPr>
          <w:rFonts w:ascii="Arial" w:hAnsi="Arial" w:cs="Arial"/>
          <w:sz w:val="22"/>
          <w:szCs w:val="22"/>
        </w:rPr>
      </w:pPr>
      <w:r w:rsidRPr="0067728A">
        <w:rPr>
          <w:rFonts w:ascii="Arial" w:hAnsi="Arial" w:cs="Arial"/>
          <w:i/>
          <w:sz w:val="22"/>
          <w:szCs w:val="22"/>
        </w:rPr>
        <w:t>The Charities Act 2013</w:t>
      </w:r>
      <w:r w:rsidRPr="0067728A">
        <w:rPr>
          <w:rFonts w:ascii="Arial" w:hAnsi="Arial" w:cs="Arial"/>
          <w:sz w:val="22"/>
          <w:szCs w:val="22"/>
        </w:rPr>
        <w:t xml:space="preserve"> (</w:t>
      </w:r>
      <w:proofErr w:type="spellStart"/>
      <w:r w:rsidRPr="0067728A">
        <w:rPr>
          <w:rFonts w:ascii="Arial" w:hAnsi="Arial" w:cs="Arial"/>
          <w:sz w:val="22"/>
          <w:szCs w:val="22"/>
        </w:rPr>
        <w:t>Cth</w:t>
      </w:r>
      <w:proofErr w:type="spellEnd"/>
      <w:r w:rsidRPr="0067728A">
        <w:rPr>
          <w:rFonts w:ascii="Arial" w:hAnsi="Arial" w:cs="Arial"/>
          <w:sz w:val="22"/>
          <w:szCs w:val="22"/>
        </w:rPr>
        <w:t>)</w:t>
      </w:r>
      <w:r w:rsidR="00993C74">
        <w:rPr>
          <w:rFonts w:ascii="Arial" w:hAnsi="Arial" w:cs="Arial"/>
          <w:sz w:val="22"/>
          <w:szCs w:val="22"/>
        </w:rPr>
        <w:t xml:space="preserve"> </w:t>
      </w:r>
      <w:r w:rsidRPr="0067728A">
        <w:rPr>
          <w:rFonts w:ascii="Arial" w:hAnsi="Arial" w:cs="Arial"/>
          <w:sz w:val="22"/>
          <w:szCs w:val="22"/>
        </w:rPr>
        <w:t>commenced on 1 January 2014. The Act clarified concepts from the common law to introduce a statutory definition of ‘charity’ for Commonwealth purposes. Among other requirements, not-for-profit organisations must meet the definition of ‘charity’ in the Charities Act to become and remain a registered charity.</w:t>
      </w:r>
      <w:r>
        <w:rPr>
          <w:rFonts w:ascii="Arial" w:hAnsi="Arial" w:cs="Arial"/>
          <w:sz w:val="22"/>
          <w:szCs w:val="22"/>
        </w:rPr>
        <w:t xml:space="preserve"> </w:t>
      </w:r>
    </w:p>
    <w:p w14:paraId="72FE74AD" w14:textId="77777777" w:rsidR="00DA7133" w:rsidRDefault="00DA7133">
      <w:pPr>
        <w:rPr>
          <w:rFonts w:ascii="Arial" w:hAnsi="Arial" w:cs="Arial"/>
          <w:sz w:val="22"/>
          <w:szCs w:val="22"/>
        </w:rPr>
      </w:pPr>
      <w:r>
        <w:rPr>
          <w:rFonts w:ascii="Arial" w:hAnsi="Arial" w:cs="Arial"/>
          <w:sz w:val="22"/>
          <w:szCs w:val="22"/>
        </w:rPr>
        <w:br w:type="page"/>
      </w:r>
    </w:p>
    <w:p w14:paraId="4BA1F5E6" w14:textId="03126021" w:rsidR="0067728A" w:rsidRDefault="0067728A" w:rsidP="0067728A">
      <w:pPr>
        <w:pStyle w:val="ListParagraph"/>
        <w:numPr>
          <w:ilvl w:val="0"/>
          <w:numId w:val="36"/>
        </w:numPr>
        <w:rPr>
          <w:rFonts w:ascii="Arial" w:hAnsi="Arial" w:cs="Arial"/>
          <w:sz w:val="22"/>
          <w:szCs w:val="22"/>
        </w:rPr>
      </w:pPr>
      <w:r w:rsidRPr="0067728A">
        <w:rPr>
          <w:rFonts w:ascii="Arial" w:hAnsi="Arial" w:cs="Arial"/>
          <w:sz w:val="22"/>
          <w:szCs w:val="22"/>
        </w:rPr>
        <w:lastRenderedPageBreak/>
        <w:t>Section 5 of the Charities Act defines ‘charity’:</w:t>
      </w:r>
    </w:p>
    <w:p w14:paraId="6B944EF7" w14:textId="77777777" w:rsidR="0067728A" w:rsidRPr="0067728A" w:rsidRDefault="0067728A" w:rsidP="0067728A">
      <w:pPr>
        <w:pStyle w:val="ListParagraph"/>
        <w:ind w:left="360" w:firstLine="360"/>
        <w:rPr>
          <w:rFonts w:ascii="Arial" w:hAnsi="Arial" w:cs="Arial"/>
          <w:sz w:val="20"/>
        </w:rPr>
      </w:pPr>
      <w:r w:rsidRPr="0067728A">
        <w:rPr>
          <w:rFonts w:ascii="Arial" w:hAnsi="Arial" w:cs="Arial"/>
          <w:sz w:val="20"/>
        </w:rPr>
        <w:t>charity means an entity:</w:t>
      </w:r>
    </w:p>
    <w:p w14:paraId="0FDAB751" w14:textId="77777777" w:rsidR="0067728A" w:rsidRPr="0067728A" w:rsidRDefault="0067728A" w:rsidP="0067728A">
      <w:pPr>
        <w:pStyle w:val="ListParagraph"/>
        <w:ind w:left="360" w:firstLine="360"/>
        <w:rPr>
          <w:rFonts w:ascii="Arial" w:hAnsi="Arial" w:cs="Arial"/>
          <w:sz w:val="20"/>
        </w:rPr>
      </w:pPr>
      <w:r w:rsidRPr="0067728A">
        <w:rPr>
          <w:rFonts w:ascii="Arial" w:hAnsi="Arial" w:cs="Arial"/>
          <w:sz w:val="20"/>
        </w:rPr>
        <w:t>(a) that is a not-for-profit entity; and</w:t>
      </w:r>
    </w:p>
    <w:p w14:paraId="178BBF91" w14:textId="77777777" w:rsidR="0067728A" w:rsidRPr="0067728A" w:rsidRDefault="0067728A" w:rsidP="0067728A">
      <w:pPr>
        <w:pStyle w:val="ListParagraph"/>
        <w:ind w:left="360" w:firstLine="360"/>
        <w:rPr>
          <w:rFonts w:ascii="Arial" w:hAnsi="Arial" w:cs="Arial"/>
          <w:sz w:val="20"/>
        </w:rPr>
      </w:pPr>
      <w:r w:rsidRPr="0067728A">
        <w:rPr>
          <w:rFonts w:ascii="Arial" w:hAnsi="Arial" w:cs="Arial"/>
          <w:sz w:val="20"/>
        </w:rPr>
        <w:t xml:space="preserve">(b) </w:t>
      </w:r>
      <w:proofErr w:type="gramStart"/>
      <w:r w:rsidRPr="0067728A">
        <w:rPr>
          <w:rFonts w:ascii="Arial" w:hAnsi="Arial" w:cs="Arial"/>
          <w:sz w:val="20"/>
        </w:rPr>
        <w:t>all of</w:t>
      </w:r>
      <w:proofErr w:type="gramEnd"/>
      <w:r w:rsidRPr="0067728A">
        <w:rPr>
          <w:rFonts w:ascii="Arial" w:hAnsi="Arial" w:cs="Arial"/>
          <w:sz w:val="20"/>
        </w:rPr>
        <w:t xml:space="preserve"> the purposes of which are:</w:t>
      </w:r>
    </w:p>
    <w:p w14:paraId="766B7440" w14:textId="77777777" w:rsidR="0067728A" w:rsidRPr="0067728A" w:rsidRDefault="0067728A" w:rsidP="0067728A">
      <w:pPr>
        <w:pStyle w:val="ListParagraph"/>
        <w:ind w:left="1080"/>
        <w:rPr>
          <w:rFonts w:ascii="Arial" w:hAnsi="Arial" w:cs="Arial"/>
          <w:sz w:val="20"/>
        </w:rPr>
      </w:pPr>
      <w:r w:rsidRPr="0067728A">
        <w:rPr>
          <w:rFonts w:ascii="Arial" w:hAnsi="Arial" w:cs="Arial"/>
          <w:sz w:val="20"/>
        </w:rPr>
        <w:t>(</w:t>
      </w:r>
      <w:proofErr w:type="spellStart"/>
      <w:r w:rsidRPr="0067728A">
        <w:rPr>
          <w:rFonts w:ascii="Arial" w:hAnsi="Arial" w:cs="Arial"/>
          <w:sz w:val="20"/>
        </w:rPr>
        <w:t>i</w:t>
      </w:r>
      <w:proofErr w:type="spellEnd"/>
      <w:r w:rsidRPr="0067728A">
        <w:rPr>
          <w:rFonts w:ascii="Arial" w:hAnsi="Arial" w:cs="Arial"/>
          <w:sz w:val="20"/>
        </w:rPr>
        <w:t>) charitable purposes (see Part 3) that are for the public benefit (see Division 2 of this Part); or</w:t>
      </w:r>
    </w:p>
    <w:p w14:paraId="0CB2FB69" w14:textId="77777777" w:rsidR="0067728A" w:rsidRPr="0067728A" w:rsidRDefault="0067728A" w:rsidP="0067728A">
      <w:pPr>
        <w:pStyle w:val="ListParagraph"/>
        <w:ind w:left="1080"/>
        <w:rPr>
          <w:rFonts w:ascii="Arial" w:hAnsi="Arial" w:cs="Arial"/>
          <w:sz w:val="20"/>
        </w:rPr>
      </w:pPr>
      <w:r w:rsidRPr="0067728A">
        <w:rPr>
          <w:rFonts w:ascii="Arial" w:hAnsi="Arial" w:cs="Arial"/>
          <w:sz w:val="20"/>
        </w:rPr>
        <w:t>(ii) purposes that are incidental or ancillary to, and in furtherance or in aid of, purposes of the entity covered by subparagraph (</w:t>
      </w:r>
      <w:proofErr w:type="spellStart"/>
      <w:r w:rsidRPr="0067728A">
        <w:rPr>
          <w:rFonts w:ascii="Arial" w:hAnsi="Arial" w:cs="Arial"/>
          <w:sz w:val="20"/>
        </w:rPr>
        <w:t>i</w:t>
      </w:r>
      <w:proofErr w:type="spellEnd"/>
      <w:r w:rsidRPr="0067728A">
        <w:rPr>
          <w:rFonts w:ascii="Arial" w:hAnsi="Arial" w:cs="Arial"/>
          <w:sz w:val="20"/>
        </w:rPr>
        <w:t>); and</w:t>
      </w:r>
    </w:p>
    <w:p w14:paraId="4AD84B5C" w14:textId="77777777" w:rsidR="0067728A" w:rsidRDefault="0067728A" w:rsidP="0067728A">
      <w:pPr>
        <w:pStyle w:val="ListParagraph"/>
        <w:ind w:left="1080"/>
        <w:rPr>
          <w:rFonts w:ascii="Arial" w:hAnsi="Arial" w:cs="Arial"/>
          <w:sz w:val="22"/>
          <w:szCs w:val="22"/>
        </w:rPr>
      </w:pPr>
    </w:p>
    <w:p w14:paraId="0BF1A0A6" w14:textId="4D8A39CD" w:rsidR="0067728A" w:rsidRPr="0067728A" w:rsidRDefault="0067728A" w:rsidP="0067728A">
      <w:pPr>
        <w:pStyle w:val="ListParagraph"/>
        <w:ind w:left="1080"/>
        <w:rPr>
          <w:rFonts w:ascii="Arial" w:hAnsi="Arial" w:cs="Arial"/>
          <w:sz w:val="18"/>
          <w:szCs w:val="18"/>
        </w:rPr>
      </w:pPr>
      <w:r w:rsidRPr="0067728A">
        <w:rPr>
          <w:rFonts w:ascii="Arial" w:hAnsi="Arial" w:cs="Arial"/>
          <w:sz w:val="18"/>
          <w:szCs w:val="18"/>
        </w:rPr>
        <w:t>Note 1: In determining the purposes of the entity, have regard to the entity’s governing rules, its activities and any other relevant matter.</w:t>
      </w:r>
    </w:p>
    <w:p w14:paraId="0ABE9C98" w14:textId="66CFD2C0" w:rsidR="0067728A" w:rsidRPr="0067728A" w:rsidRDefault="0067728A" w:rsidP="0067728A">
      <w:pPr>
        <w:pStyle w:val="ListParagraph"/>
        <w:ind w:left="1080"/>
        <w:rPr>
          <w:rFonts w:ascii="Arial" w:hAnsi="Arial" w:cs="Arial"/>
          <w:sz w:val="18"/>
          <w:szCs w:val="18"/>
        </w:rPr>
      </w:pPr>
      <w:r w:rsidRPr="0067728A">
        <w:rPr>
          <w:rFonts w:ascii="Arial" w:hAnsi="Arial" w:cs="Arial"/>
          <w:sz w:val="18"/>
          <w:szCs w:val="18"/>
        </w:rPr>
        <w:t>Note 2: The requirement in subparagraph (b)(</w:t>
      </w:r>
      <w:proofErr w:type="spellStart"/>
      <w:r w:rsidRPr="0067728A">
        <w:rPr>
          <w:rFonts w:ascii="Arial" w:hAnsi="Arial" w:cs="Arial"/>
          <w:sz w:val="18"/>
          <w:szCs w:val="18"/>
        </w:rPr>
        <w:t>i</w:t>
      </w:r>
      <w:proofErr w:type="spellEnd"/>
      <w:r w:rsidRPr="0067728A">
        <w:rPr>
          <w:rFonts w:ascii="Arial" w:hAnsi="Arial" w:cs="Arial"/>
          <w:sz w:val="18"/>
          <w:szCs w:val="18"/>
        </w:rPr>
        <w:t>) that a purpose be for the public benefit does not apply to certain entities (see section 10).</w:t>
      </w:r>
    </w:p>
    <w:p w14:paraId="4DD4F0C8" w14:textId="77777777" w:rsidR="0067728A" w:rsidRPr="0067728A" w:rsidRDefault="0067728A" w:rsidP="0067728A">
      <w:pPr>
        <w:rPr>
          <w:rFonts w:ascii="Arial" w:hAnsi="Arial" w:cs="Arial"/>
          <w:sz w:val="22"/>
          <w:szCs w:val="22"/>
        </w:rPr>
      </w:pPr>
    </w:p>
    <w:p w14:paraId="5E0DCDA6" w14:textId="77777777" w:rsidR="0067728A" w:rsidRPr="0067728A" w:rsidRDefault="0067728A" w:rsidP="0067728A">
      <w:pPr>
        <w:pStyle w:val="ListParagraph"/>
        <w:rPr>
          <w:rFonts w:ascii="Arial" w:hAnsi="Arial" w:cs="Arial"/>
          <w:sz w:val="20"/>
        </w:rPr>
      </w:pPr>
      <w:r w:rsidRPr="0067728A">
        <w:rPr>
          <w:rFonts w:ascii="Arial" w:hAnsi="Arial" w:cs="Arial"/>
          <w:sz w:val="20"/>
        </w:rPr>
        <w:t>(c) none of the purposes of which are disqualifying purposes (see Division 3); and</w:t>
      </w:r>
    </w:p>
    <w:p w14:paraId="0D97A3DC" w14:textId="77777777" w:rsidR="0067728A" w:rsidRPr="0067728A" w:rsidRDefault="0067728A" w:rsidP="0067728A">
      <w:pPr>
        <w:pStyle w:val="ListParagraph"/>
        <w:rPr>
          <w:rFonts w:ascii="Arial" w:hAnsi="Arial" w:cs="Arial"/>
          <w:sz w:val="20"/>
        </w:rPr>
      </w:pPr>
      <w:r w:rsidRPr="0067728A">
        <w:rPr>
          <w:rFonts w:ascii="Arial" w:hAnsi="Arial" w:cs="Arial"/>
          <w:sz w:val="20"/>
        </w:rPr>
        <w:t>(d) that is not an individual, a political party or a government entity.</w:t>
      </w:r>
    </w:p>
    <w:p w14:paraId="660ECB16" w14:textId="77777777" w:rsidR="0067728A" w:rsidRDefault="0067728A" w:rsidP="0067728A">
      <w:pPr>
        <w:rPr>
          <w:rFonts w:ascii="Arial" w:hAnsi="Arial" w:cs="Arial"/>
          <w:sz w:val="22"/>
          <w:szCs w:val="22"/>
        </w:rPr>
      </w:pPr>
    </w:p>
    <w:p w14:paraId="2FC56C68" w14:textId="77777777" w:rsidR="00993C74" w:rsidRDefault="0067728A" w:rsidP="0067728A">
      <w:pPr>
        <w:pStyle w:val="ListParagraph"/>
        <w:numPr>
          <w:ilvl w:val="0"/>
          <w:numId w:val="36"/>
        </w:numPr>
        <w:rPr>
          <w:rFonts w:ascii="Arial" w:hAnsi="Arial" w:cs="Arial"/>
          <w:sz w:val="22"/>
          <w:szCs w:val="22"/>
        </w:rPr>
      </w:pPr>
      <w:r w:rsidRPr="0067728A">
        <w:rPr>
          <w:rFonts w:ascii="Arial" w:hAnsi="Arial" w:cs="Arial"/>
          <w:sz w:val="22"/>
          <w:szCs w:val="22"/>
        </w:rPr>
        <w:t>Political parties are explicitly excluded from the definition of ‘charity’. Organisations with a ‘disqualifying purpose’ are also excluded from the definition. The meaning of ‘disqualifying purpose’ is defined by section 11 of the Charities Act:</w:t>
      </w:r>
    </w:p>
    <w:p w14:paraId="12D89054" w14:textId="77777777" w:rsidR="00993C74" w:rsidRPr="00993C74" w:rsidRDefault="0067728A" w:rsidP="00993C74">
      <w:pPr>
        <w:pStyle w:val="ListParagraph"/>
        <w:rPr>
          <w:rFonts w:ascii="Arial" w:hAnsi="Arial" w:cs="Arial"/>
          <w:sz w:val="20"/>
        </w:rPr>
      </w:pPr>
      <w:r w:rsidRPr="00993C74">
        <w:rPr>
          <w:rFonts w:ascii="Arial" w:hAnsi="Arial" w:cs="Arial"/>
          <w:b/>
          <w:i/>
          <w:sz w:val="20"/>
        </w:rPr>
        <w:t>disqualifying purpose</w:t>
      </w:r>
      <w:r w:rsidRPr="00993C74">
        <w:rPr>
          <w:rFonts w:ascii="Arial" w:hAnsi="Arial" w:cs="Arial"/>
          <w:sz w:val="20"/>
        </w:rPr>
        <w:t xml:space="preserve"> means:</w:t>
      </w:r>
    </w:p>
    <w:p w14:paraId="15F3998F" w14:textId="77777777" w:rsidR="00993C74" w:rsidRPr="00993C74" w:rsidRDefault="00993C74" w:rsidP="00993C74">
      <w:pPr>
        <w:pStyle w:val="ListParagraph"/>
        <w:rPr>
          <w:rFonts w:ascii="Arial" w:hAnsi="Arial" w:cs="Arial"/>
          <w:sz w:val="20"/>
        </w:rPr>
      </w:pPr>
      <w:r w:rsidRPr="00993C74">
        <w:rPr>
          <w:rFonts w:ascii="Arial" w:hAnsi="Arial" w:cs="Arial"/>
          <w:sz w:val="20"/>
        </w:rPr>
        <w:t>(</w:t>
      </w:r>
      <w:r w:rsidR="0067728A" w:rsidRPr="00993C74">
        <w:rPr>
          <w:rFonts w:ascii="Arial" w:hAnsi="Arial" w:cs="Arial"/>
          <w:sz w:val="20"/>
        </w:rPr>
        <w:t>a) the purpose of engaging in, or promoting, activities that are</w:t>
      </w:r>
      <w:r w:rsidRPr="00993C74">
        <w:rPr>
          <w:rFonts w:ascii="Arial" w:hAnsi="Arial" w:cs="Arial"/>
          <w:sz w:val="20"/>
        </w:rPr>
        <w:t xml:space="preserve"> </w:t>
      </w:r>
      <w:r w:rsidR="0067728A" w:rsidRPr="00993C74">
        <w:rPr>
          <w:rFonts w:ascii="Arial" w:hAnsi="Arial" w:cs="Arial"/>
          <w:sz w:val="20"/>
        </w:rPr>
        <w:t>unlawful or contrary to public policy; or</w:t>
      </w:r>
    </w:p>
    <w:p w14:paraId="526D1D44" w14:textId="77777777" w:rsidR="00993C74" w:rsidRPr="00993C74" w:rsidRDefault="0067728A" w:rsidP="00993C74">
      <w:pPr>
        <w:pStyle w:val="ListParagraph"/>
        <w:ind w:left="1440"/>
        <w:rPr>
          <w:rFonts w:ascii="Arial" w:hAnsi="Arial" w:cs="Arial"/>
          <w:sz w:val="18"/>
          <w:szCs w:val="18"/>
        </w:rPr>
      </w:pPr>
      <w:r w:rsidRPr="00993C74">
        <w:rPr>
          <w:rFonts w:ascii="Arial" w:hAnsi="Arial" w:cs="Arial"/>
          <w:sz w:val="18"/>
          <w:szCs w:val="18"/>
        </w:rPr>
        <w:t>Example: Public policy includes the rule of law, the constitutional system</w:t>
      </w:r>
    </w:p>
    <w:p w14:paraId="3380F69F" w14:textId="77777777" w:rsidR="00993C74" w:rsidRPr="00993C74" w:rsidRDefault="0067728A" w:rsidP="00993C74">
      <w:pPr>
        <w:pStyle w:val="ListParagraph"/>
        <w:ind w:left="1440"/>
        <w:rPr>
          <w:rFonts w:ascii="Arial" w:hAnsi="Arial" w:cs="Arial"/>
          <w:sz w:val="18"/>
          <w:szCs w:val="18"/>
        </w:rPr>
      </w:pPr>
      <w:r w:rsidRPr="00993C74">
        <w:rPr>
          <w:rFonts w:ascii="Arial" w:hAnsi="Arial" w:cs="Arial"/>
          <w:sz w:val="18"/>
          <w:szCs w:val="18"/>
        </w:rPr>
        <w:t xml:space="preserve">of government of the Commonwealth, the safety of the </w:t>
      </w:r>
      <w:proofErr w:type="gramStart"/>
      <w:r w:rsidRPr="00993C74">
        <w:rPr>
          <w:rFonts w:ascii="Arial" w:hAnsi="Arial" w:cs="Arial"/>
          <w:sz w:val="18"/>
          <w:szCs w:val="18"/>
        </w:rPr>
        <w:t>genera</w:t>
      </w:r>
      <w:r w:rsidR="00993C74" w:rsidRPr="00993C74">
        <w:rPr>
          <w:rFonts w:ascii="Arial" w:hAnsi="Arial" w:cs="Arial"/>
          <w:sz w:val="18"/>
          <w:szCs w:val="18"/>
        </w:rPr>
        <w:t>l public</w:t>
      </w:r>
      <w:proofErr w:type="gramEnd"/>
      <w:r w:rsidR="00993C74" w:rsidRPr="00993C74">
        <w:rPr>
          <w:rFonts w:ascii="Arial" w:hAnsi="Arial" w:cs="Arial"/>
          <w:sz w:val="18"/>
          <w:szCs w:val="18"/>
        </w:rPr>
        <w:t xml:space="preserve"> and national security.</w:t>
      </w:r>
    </w:p>
    <w:p w14:paraId="157D4D3A" w14:textId="77777777" w:rsidR="00993C74" w:rsidRPr="00993C74" w:rsidRDefault="00993C74" w:rsidP="00993C74">
      <w:pPr>
        <w:pStyle w:val="ListParagraph"/>
        <w:ind w:left="1440"/>
        <w:rPr>
          <w:rFonts w:ascii="Arial" w:hAnsi="Arial" w:cs="Arial"/>
          <w:sz w:val="18"/>
          <w:szCs w:val="18"/>
        </w:rPr>
      </w:pPr>
    </w:p>
    <w:p w14:paraId="7122938F" w14:textId="77777777" w:rsidR="00993C74" w:rsidRPr="00993C74" w:rsidRDefault="00993C74" w:rsidP="00993C74">
      <w:pPr>
        <w:pStyle w:val="ListParagraph"/>
        <w:ind w:left="1440"/>
        <w:rPr>
          <w:rFonts w:ascii="Arial" w:hAnsi="Arial" w:cs="Arial"/>
          <w:sz w:val="18"/>
          <w:szCs w:val="18"/>
        </w:rPr>
      </w:pPr>
      <w:r w:rsidRPr="00993C74">
        <w:rPr>
          <w:rFonts w:ascii="Arial" w:hAnsi="Arial" w:cs="Arial"/>
          <w:sz w:val="18"/>
          <w:szCs w:val="18"/>
        </w:rPr>
        <w:t>Note: Activities are not contrary to public policy merely because they are contrary to government policy.</w:t>
      </w:r>
    </w:p>
    <w:p w14:paraId="6901C34F" w14:textId="21E1A63B" w:rsidR="00993C74" w:rsidRPr="00993C74" w:rsidRDefault="00993C74" w:rsidP="00993C74">
      <w:pPr>
        <w:ind w:firstLine="720"/>
        <w:rPr>
          <w:rFonts w:ascii="Arial" w:hAnsi="Arial" w:cs="Arial"/>
          <w:sz w:val="20"/>
        </w:rPr>
      </w:pPr>
      <w:r w:rsidRPr="00993C74">
        <w:rPr>
          <w:rFonts w:ascii="Arial" w:hAnsi="Arial" w:cs="Arial"/>
          <w:sz w:val="20"/>
        </w:rPr>
        <w:t xml:space="preserve">(b) the purpose of promoting or opposing a political party or a candidate for political </w:t>
      </w:r>
    </w:p>
    <w:p w14:paraId="5D192232" w14:textId="77777777" w:rsidR="00993C74" w:rsidRPr="00993C74" w:rsidRDefault="00993C74" w:rsidP="00993C74">
      <w:pPr>
        <w:ind w:firstLine="720"/>
        <w:rPr>
          <w:rFonts w:ascii="Arial" w:hAnsi="Arial" w:cs="Arial"/>
          <w:sz w:val="20"/>
        </w:rPr>
      </w:pPr>
      <w:r w:rsidRPr="00993C74">
        <w:rPr>
          <w:rFonts w:ascii="Arial" w:hAnsi="Arial" w:cs="Arial"/>
          <w:sz w:val="20"/>
        </w:rPr>
        <w:t>office.</w:t>
      </w:r>
    </w:p>
    <w:p w14:paraId="7CD210F6" w14:textId="77777777" w:rsidR="00993C74" w:rsidRDefault="00993C74" w:rsidP="00993C74">
      <w:pPr>
        <w:ind w:firstLine="720"/>
        <w:rPr>
          <w:rFonts w:ascii="Arial" w:hAnsi="Arial" w:cs="Arial"/>
          <w:sz w:val="22"/>
          <w:szCs w:val="22"/>
        </w:rPr>
      </w:pPr>
    </w:p>
    <w:p w14:paraId="517817B5" w14:textId="77777777" w:rsidR="00993C74" w:rsidRPr="00993C74" w:rsidRDefault="00993C74" w:rsidP="00993C74">
      <w:pPr>
        <w:ind w:left="1440"/>
        <w:rPr>
          <w:rFonts w:ascii="Arial" w:hAnsi="Arial" w:cs="Arial"/>
          <w:sz w:val="18"/>
          <w:szCs w:val="18"/>
        </w:rPr>
      </w:pPr>
      <w:r w:rsidRPr="00993C74">
        <w:rPr>
          <w:rFonts w:ascii="Arial" w:hAnsi="Arial" w:cs="Arial"/>
          <w:sz w:val="18"/>
          <w:szCs w:val="18"/>
        </w:rPr>
        <w:t>Example: Paragraph (b) does not apply to the purpose of distributing information, or advancing debate, about the policies of political parties or candidates for political office (such as by assessing, critiquing, comparing or ranking those policies).</w:t>
      </w:r>
    </w:p>
    <w:p w14:paraId="30180613" w14:textId="77777777" w:rsidR="00993C74" w:rsidRPr="00993C74" w:rsidRDefault="00993C74" w:rsidP="00993C74">
      <w:pPr>
        <w:ind w:left="720" w:firstLine="720"/>
        <w:rPr>
          <w:rFonts w:ascii="Arial" w:hAnsi="Arial" w:cs="Arial"/>
          <w:sz w:val="18"/>
          <w:szCs w:val="18"/>
        </w:rPr>
      </w:pPr>
    </w:p>
    <w:p w14:paraId="4BD31056" w14:textId="77777777" w:rsidR="00993C74" w:rsidRPr="00993C74" w:rsidRDefault="00993C74" w:rsidP="00993C74">
      <w:pPr>
        <w:ind w:left="1440"/>
        <w:rPr>
          <w:rFonts w:ascii="Arial" w:hAnsi="Arial" w:cs="Arial"/>
          <w:sz w:val="18"/>
          <w:szCs w:val="18"/>
        </w:rPr>
      </w:pPr>
      <w:r w:rsidRPr="00993C74">
        <w:rPr>
          <w:rFonts w:ascii="Arial" w:hAnsi="Arial" w:cs="Arial"/>
          <w:sz w:val="18"/>
          <w:szCs w:val="18"/>
        </w:rPr>
        <w:t xml:space="preserve">Note: The purpose of promoting or opposing a change to any matter established by law, policy or practice in the Commonwealth, a State, a Territory or another country may be a charitable purpose (see paragraph (l) of the definition of charitable purpose in subsection 12(1)). </w:t>
      </w:r>
    </w:p>
    <w:p w14:paraId="193F6C92" w14:textId="77777777" w:rsidR="00993C74" w:rsidRDefault="00993C74" w:rsidP="00993C74">
      <w:pPr>
        <w:rPr>
          <w:rFonts w:ascii="Arial" w:hAnsi="Arial" w:cs="Arial"/>
          <w:sz w:val="22"/>
          <w:szCs w:val="22"/>
        </w:rPr>
      </w:pPr>
    </w:p>
    <w:p w14:paraId="0AE30048" w14:textId="3E5BBCBD" w:rsidR="0067728A" w:rsidRPr="00993C74" w:rsidRDefault="00993C74" w:rsidP="00993C74">
      <w:pPr>
        <w:pStyle w:val="ListParagraph"/>
        <w:numPr>
          <w:ilvl w:val="0"/>
          <w:numId w:val="36"/>
        </w:numPr>
        <w:rPr>
          <w:rFonts w:ascii="Arial" w:hAnsi="Arial" w:cs="Arial"/>
          <w:sz w:val="22"/>
          <w:szCs w:val="22"/>
        </w:rPr>
      </w:pPr>
      <w:r w:rsidRPr="00993C74">
        <w:rPr>
          <w:rFonts w:ascii="Arial" w:hAnsi="Arial" w:cs="Arial"/>
          <w:sz w:val="22"/>
          <w:szCs w:val="22"/>
        </w:rPr>
        <w:t>Relevantly to election and advocacy, a charity must not have a purpose of promoting or opposing a political party or a candidate for political office. Importantly, a charity’s purpose</w:t>
      </w:r>
      <w:r>
        <w:rPr>
          <w:rFonts w:ascii="Arial" w:hAnsi="Arial" w:cs="Arial"/>
          <w:sz w:val="22"/>
          <w:szCs w:val="22"/>
        </w:rPr>
        <w:t xml:space="preserve"> </w:t>
      </w:r>
      <w:r w:rsidRPr="00993C74">
        <w:rPr>
          <w:rFonts w:ascii="Arial" w:hAnsi="Arial" w:cs="Arial"/>
          <w:sz w:val="22"/>
          <w:szCs w:val="22"/>
        </w:rPr>
        <w:t>is distinct from its activities. In determining whether a charity has a disqualifying political purpose, the ACNC will consider all the relevant circumstances of the charity, including its governing rules and its activities. Assessment of these matters will be a question of fact and degree</w:t>
      </w:r>
      <w:r>
        <w:rPr>
          <w:rFonts w:ascii="Arial" w:hAnsi="Arial" w:cs="Arial"/>
          <w:sz w:val="22"/>
          <w:szCs w:val="22"/>
        </w:rPr>
        <w:t>.</w:t>
      </w:r>
    </w:p>
    <w:p w14:paraId="0585E1F5" w14:textId="6064829D" w:rsidR="00A02A67" w:rsidRDefault="00A02A67" w:rsidP="00D77796">
      <w:pPr>
        <w:rPr>
          <w:rFonts w:ascii="Arial" w:hAnsi="Arial" w:cs="Arial"/>
          <w:sz w:val="22"/>
          <w:szCs w:val="22"/>
        </w:rPr>
      </w:pPr>
    </w:p>
    <w:p w14:paraId="0AF3A6B7" w14:textId="3AAF1D04" w:rsidR="00993C74" w:rsidRPr="00993C74" w:rsidRDefault="00993C74" w:rsidP="00D77796">
      <w:pPr>
        <w:rPr>
          <w:rFonts w:ascii="Arial" w:hAnsi="Arial" w:cs="Arial"/>
          <w:b/>
          <w:sz w:val="22"/>
          <w:szCs w:val="22"/>
        </w:rPr>
      </w:pPr>
      <w:r w:rsidRPr="00993C74">
        <w:rPr>
          <w:rFonts w:ascii="Arial" w:hAnsi="Arial" w:cs="Arial"/>
          <w:b/>
          <w:sz w:val="22"/>
          <w:szCs w:val="22"/>
        </w:rPr>
        <w:t xml:space="preserve">ACNC guidance for registered charities on political campaigning and advocacy </w:t>
      </w:r>
    </w:p>
    <w:p w14:paraId="77CACBDF" w14:textId="729AD7D7" w:rsidR="00993C74" w:rsidRDefault="00993C74" w:rsidP="00D77796">
      <w:pPr>
        <w:rPr>
          <w:rFonts w:ascii="Arial" w:hAnsi="Arial" w:cs="Arial"/>
          <w:sz w:val="22"/>
          <w:szCs w:val="22"/>
        </w:rPr>
      </w:pPr>
    </w:p>
    <w:p w14:paraId="39573EDA" w14:textId="0CC40818" w:rsidR="00993C74" w:rsidRDefault="00993C74" w:rsidP="00993C74">
      <w:pPr>
        <w:pStyle w:val="ListParagraph"/>
        <w:numPr>
          <w:ilvl w:val="0"/>
          <w:numId w:val="36"/>
        </w:numPr>
        <w:rPr>
          <w:rFonts w:ascii="Arial" w:hAnsi="Arial" w:cs="Arial"/>
          <w:sz w:val="22"/>
          <w:szCs w:val="22"/>
        </w:rPr>
      </w:pPr>
      <w:r>
        <w:rPr>
          <w:rFonts w:ascii="Arial" w:hAnsi="Arial" w:cs="Arial"/>
          <w:sz w:val="22"/>
          <w:szCs w:val="22"/>
        </w:rPr>
        <w:t xml:space="preserve">The ACNC has publicly available guidance </w:t>
      </w:r>
      <w:hyperlink r:id="rId11" w:history="1">
        <w:r w:rsidR="00404012" w:rsidRPr="00404012">
          <w:rPr>
            <w:rStyle w:val="Hyperlink"/>
            <w:rFonts w:ascii="Arial" w:hAnsi="Arial" w:cs="Arial"/>
            <w:sz w:val="22"/>
            <w:szCs w:val="22"/>
          </w:rPr>
          <w:t>“Charities, elections and advocacy”</w:t>
        </w:r>
      </w:hyperlink>
      <w:r w:rsidR="00404012">
        <w:rPr>
          <w:rFonts w:ascii="Arial" w:hAnsi="Arial" w:cs="Arial"/>
          <w:sz w:val="22"/>
          <w:szCs w:val="22"/>
        </w:rPr>
        <w:t xml:space="preserve"> </w:t>
      </w:r>
      <w:r>
        <w:rPr>
          <w:rFonts w:ascii="Arial" w:hAnsi="Arial" w:cs="Arial"/>
          <w:sz w:val="22"/>
          <w:szCs w:val="22"/>
        </w:rPr>
        <w:t xml:space="preserve">which assists charities to understand and comply with their obligations in relation to political campaigning.  This guidance was released prior to the 2016 election.  </w:t>
      </w:r>
      <w:r w:rsidR="00404012">
        <w:rPr>
          <w:rFonts w:ascii="Arial" w:hAnsi="Arial" w:cs="Arial"/>
          <w:sz w:val="22"/>
          <w:szCs w:val="22"/>
        </w:rPr>
        <w:t>Before</w:t>
      </w:r>
      <w:r>
        <w:rPr>
          <w:rFonts w:ascii="Arial" w:hAnsi="Arial" w:cs="Arial"/>
          <w:sz w:val="22"/>
          <w:szCs w:val="22"/>
        </w:rPr>
        <w:t xml:space="preserve"> the 2019 election the ACNC advertised its existence through the ACNC media channel</w:t>
      </w:r>
      <w:r w:rsidR="00E42B42">
        <w:rPr>
          <w:rFonts w:ascii="Arial" w:hAnsi="Arial" w:cs="Arial"/>
          <w:sz w:val="22"/>
          <w:szCs w:val="22"/>
        </w:rPr>
        <w:t>s</w:t>
      </w:r>
      <w:r>
        <w:rPr>
          <w:rFonts w:ascii="Arial" w:hAnsi="Arial" w:cs="Arial"/>
          <w:sz w:val="22"/>
          <w:szCs w:val="22"/>
        </w:rPr>
        <w:t xml:space="preserve"> to remind charities of their obligations.</w:t>
      </w:r>
    </w:p>
    <w:p w14:paraId="399FAE01" w14:textId="762B2FD7" w:rsidR="00404012" w:rsidRDefault="00404012" w:rsidP="00993C74">
      <w:pPr>
        <w:pStyle w:val="ListParagraph"/>
        <w:numPr>
          <w:ilvl w:val="0"/>
          <w:numId w:val="36"/>
        </w:numPr>
        <w:rPr>
          <w:rFonts w:ascii="Arial" w:hAnsi="Arial" w:cs="Arial"/>
          <w:sz w:val="22"/>
          <w:szCs w:val="22"/>
        </w:rPr>
      </w:pPr>
      <w:r>
        <w:rPr>
          <w:rFonts w:ascii="Arial" w:hAnsi="Arial" w:cs="Arial"/>
          <w:sz w:val="22"/>
          <w:szCs w:val="22"/>
        </w:rPr>
        <w:lastRenderedPageBreak/>
        <w:t xml:space="preserve">The ACNC also utilised its media channels to ensure that charities were aware of the changes to the </w:t>
      </w:r>
      <w:r w:rsidRPr="00E42B42">
        <w:rPr>
          <w:rFonts w:ascii="Arial" w:hAnsi="Arial" w:cs="Arial"/>
          <w:i/>
          <w:sz w:val="22"/>
          <w:szCs w:val="22"/>
        </w:rPr>
        <w:t>Commonwealth Electoral Act 1918</w:t>
      </w:r>
      <w:r>
        <w:rPr>
          <w:rFonts w:ascii="Arial" w:hAnsi="Arial" w:cs="Arial"/>
          <w:sz w:val="22"/>
          <w:szCs w:val="22"/>
        </w:rPr>
        <w:t xml:space="preserve"> (</w:t>
      </w:r>
      <w:proofErr w:type="spellStart"/>
      <w:r>
        <w:rPr>
          <w:rFonts w:ascii="Arial" w:hAnsi="Arial" w:cs="Arial"/>
          <w:sz w:val="22"/>
          <w:szCs w:val="22"/>
        </w:rPr>
        <w:t>Cth</w:t>
      </w:r>
      <w:proofErr w:type="spellEnd"/>
      <w:r>
        <w:rPr>
          <w:rFonts w:ascii="Arial" w:hAnsi="Arial" w:cs="Arial"/>
          <w:sz w:val="22"/>
          <w:szCs w:val="22"/>
        </w:rPr>
        <w:t xml:space="preserve">) related to electoral expenditure, pointing registered charities to the Australian Electoral Commission guidance on this topic. </w:t>
      </w:r>
    </w:p>
    <w:p w14:paraId="1EFF4B9C" w14:textId="1B355EF7" w:rsidR="00993C74" w:rsidRPr="00E26123" w:rsidRDefault="00993C74" w:rsidP="00E26123">
      <w:pPr>
        <w:rPr>
          <w:rFonts w:ascii="Arial" w:hAnsi="Arial" w:cs="Arial"/>
          <w:sz w:val="22"/>
          <w:szCs w:val="22"/>
        </w:rPr>
      </w:pPr>
    </w:p>
    <w:p w14:paraId="6988E320" w14:textId="5E47F456" w:rsidR="00E26123" w:rsidRPr="008A752A" w:rsidRDefault="00E26123" w:rsidP="00E26123">
      <w:pPr>
        <w:rPr>
          <w:rFonts w:ascii="Arial" w:hAnsi="Arial" w:cs="Arial"/>
          <w:b/>
          <w:sz w:val="22"/>
          <w:szCs w:val="22"/>
        </w:rPr>
      </w:pPr>
      <w:r w:rsidRPr="008A752A">
        <w:rPr>
          <w:rFonts w:ascii="Arial" w:hAnsi="Arial" w:cs="Arial"/>
          <w:b/>
          <w:sz w:val="22"/>
          <w:szCs w:val="22"/>
        </w:rPr>
        <w:t>Concerns</w:t>
      </w:r>
      <w:r w:rsidR="008A752A" w:rsidRPr="008A752A">
        <w:rPr>
          <w:rFonts w:ascii="Arial" w:hAnsi="Arial" w:cs="Arial"/>
          <w:b/>
          <w:sz w:val="22"/>
          <w:szCs w:val="22"/>
        </w:rPr>
        <w:t xml:space="preserve"> about charities engaging in political campaigning</w:t>
      </w:r>
    </w:p>
    <w:p w14:paraId="09757B4F" w14:textId="484156DC" w:rsidR="008A752A" w:rsidRDefault="008A752A" w:rsidP="00E26123">
      <w:pPr>
        <w:rPr>
          <w:rFonts w:ascii="Arial" w:hAnsi="Arial" w:cs="Arial"/>
          <w:sz w:val="22"/>
          <w:szCs w:val="22"/>
        </w:rPr>
      </w:pPr>
    </w:p>
    <w:p w14:paraId="0DAE2498" w14:textId="78920490" w:rsidR="008A752A" w:rsidRDefault="008A752A" w:rsidP="008A752A">
      <w:pPr>
        <w:pStyle w:val="ListParagraph"/>
        <w:numPr>
          <w:ilvl w:val="0"/>
          <w:numId w:val="36"/>
        </w:numPr>
        <w:rPr>
          <w:rFonts w:ascii="Arial" w:hAnsi="Arial" w:cs="Arial"/>
          <w:sz w:val="22"/>
          <w:szCs w:val="22"/>
        </w:rPr>
      </w:pPr>
      <w:r>
        <w:rPr>
          <w:rFonts w:ascii="Arial" w:hAnsi="Arial" w:cs="Arial"/>
          <w:sz w:val="22"/>
          <w:szCs w:val="22"/>
        </w:rPr>
        <w:t xml:space="preserve">The ACNC publishes an annual compliance report setting out its compliance priorities.  In the 2018 Compliance Report the ACNC identified that </w:t>
      </w:r>
      <w:r w:rsidR="00786982">
        <w:rPr>
          <w:rFonts w:ascii="Arial" w:hAnsi="Arial" w:cs="Arial"/>
          <w:sz w:val="22"/>
          <w:szCs w:val="22"/>
        </w:rPr>
        <w:t>‘</w:t>
      </w:r>
      <w:r>
        <w:rPr>
          <w:rFonts w:ascii="Arial" w:hAnsi="Arial" w:cs="Arial"/>
          <w:sz w:val="22"/>
          <w:szCs w:val="22"/>
        </w:rPr>
        <w:t>political or unlawful activities</w:t>
      </w:r>
      <w:r w:rsidR="00786982">
        <w:rPr>
          <w:rFonts w:ascii="Arial" w:hAnsi="Arial" w:cs="Arial"/>
          <w:sz w:val="22"/>
          <w:szCs w:val="22"/>
        </w:rPr>
        <w:t>’</w:t>
      </w:r>
      <w:r>
        <w:rPr>
          <w:rFonts w:ascii="Arial" w:hAnsi="Arial" w:cs="Arial"/>
          <w:sz w:val="22"/>
          <w:szCs w:val="22"/>
        </w:rPr>
        <w:t xml:space="preserve"> w</w:t>
      </w:r>
      <w:r w:rsidR="00786982">
        <w:rPr>
          <w:rFonts w:ascii="Arial" w:hAnsi="Arial" w:cs="Arial"/>
          <w:sz w:val="22"/>
          <w:szCs w:val="22"/>
        </w:rPr>
        <w:t xml:space="preserve">as one of four forms of conduct that are so detrimental to trust and confidence in the charity sector that they are always considered a priority.  </w:t>
      </w:r>
    </w:p>
    <w:p w14:paraId="14C609B7" w14:textId="25BA67A4" w:rsidR="00786982" w:rsidRDefault="00786982" w:rsidP="00786982">
      <w:pPr>
        <w:pStyle w:val="ListParagraph"/>
        <w:numPr>
          <w:ilvl w:val="0"/>
          <w:numId w:val="36"/>
        </w:numPr>
        <w:rPr>
          <w:rFonts w:ascii="Arial" w:hAnsi="Arial" w:cs="Arial"/>
          <w:sz w:val="22"/>
          <w:szCs w:val="22"/>
        </w:rPr>
      </w:pPr>
      <w:r w:rsidRPr="00786982">
        <w:rPr>
          <w:rFonts w:ascii="Arial" w:hAnsi="Arial" w:cs="Arial"/>
          <w:sz w:val="22"/>
          <w:szCs w:val="22"/>
        </w:rPr>
        <w:t xml:space="preserve">Members of the public </w:t>
      </w:r>
      <w:proofErr w:type="gramStart"/>
      <w:r w:rsidRPr="00786982">
        <w:rPr>
          <w:rFonts w:ascii="Arial" w:hAnsi="Arial" w:cs="Arial"/>
          <w:sz w:val="22"/>
          <w:szCs w:val="22"/>
        </w:rPr>
        <w:t>are able to</w:t>
      </w:r>
      <w:proofErr w:type="gramEnd"/>
      <w:r w:rsidRPr="00786982">
        <w:rPr>
          <w:rFonts w:ascii="Arial" w:hAnsi="Arial" w:cs="Arial"/>
          <w:sz w:val="22"/>
          <w:szCs w:val="22"/>
        </w:rPr>
        <w:t xml:space="preserve"> raise concerns about charities with the ACNC by calling 13 ACNC (13 22 62) or by visiting acnc.gov.au/</w:t>
      </w:r>
      <w:proofErr w:type="spellStart"/>
      <w:r w:rsidRPr="00786982">
        <w:rPr>
          <w:rFonts w:ascii="Arial" w:hAnsi="Arial" w:cs="Arial"/>
          <w:sz w:val="22"/>
          <w:szCs w:val="22"/>
        </w:rPr>
        <w:t>raiseaconcern</w:t>
      </w:r>
      <w:proofErr w:type="spellEnd"/>
      <w:r w:rsidRPr="00786982">
        <w:rPr>
          <w:rFonts w:ascii="Arial" w:hAnsi="Arial" w:cs="Arial"/>
          <w:sz w:val="22"/>
          <w:szCs w:val="22"/>
        </w:rPr>
        <w:t>. The ACNC also monitors media and other intelligence to identify concerns. The ACNC carefully considers all concerns.</w:t>
      </w:r>
    </w:p>
    <w:p w14:paraId="6A962FA3" w14:textId="2CA014EA" w:rsidR="00786982" w:rsidRDefault="00786982" w:rsidP="00786982">
      <w:pPr>
        <w:rPr>
          <w:rFonts w:ascii="Arial" w:hAnsi="Arial" w:cs="Arial"/>
          <w:sz w:val="22"/>
          <w:szCs w:val="22"/>
        </w:rPr>
      </w:pPr>
    </w:p>
    <w:p w14:paraId="144F0E68" w14:textId="78DF2E43" w:rsidR="00786982" w:rsidRPr="002E7472" w:rsidRDefault="00786982" w:rsidP="00786982">
      <w:pPr>
        <w:rPr>
          <w:rFonts w:ascii="Arial" w:hAnsi="Arial" w:cs="Arial"/>
          <w:b/>
          <w:sz w:val="22"/>
          <w:szCs w:val="22"/>
        </w:rPr>
      </w:pPr>
      <w:r w:rsidRPr="002E7472">
        <w:rPr>
          <w:rFonts w:ascii="Arial" w:hAnsi="Arial" w:cs="Arial"/>
          <w:b/>
          <w:sz w:val="22"/>
          <w:szCs w:val="22"/>
        </w:rPr>
        <w:t>The ACNC Secrecy Provisions</w:t>
      </w:r>
    </w:p>
    <w:p w14:paraId="24FEC663" w14:textId="77777777" w:rsidR="002E7472" w:rsidRDefault="002E7472" w:rsidP="00786982">
      <w:pPr>
        <w:rPr>
          <w:rFonts w:ascii="Arial" w:hAnsi="Arial" w:cs="Arial"/>
          <w:sz w:val="22"/>
          <w:szCs w:val="22"/>
        </w:rPr>
      </w:pPr>
    </w:p>
    <w:p w14:paraId="681E7D9F" w14:textId="5D0D9C27" w:rsidR="00786982" w:rsidRPr="002E7472" w:rsidRDefault="00786982" w:rsidP="00786982">
      <w:pPr>
        <w:pStyle w:val="ListParagraph"/>
        <w:numPr>
          <w:ilvl w:val="0"/>
          <w:numId w:val="36"/>
        </w:numPr>
        <w:rPr>
          <w:rStyle w:val="normaltextrun"/>
          <w:rFonts w:ascii="Arial" w:hAnsi="Arial" w:cs="Arial"/>
          <w:sz w:val="22"/>
          <w:szCs w:val="22"/>
        </w:rPr>
      </w:pPr>
      <w:r>
        <w:rPr>
          <w:rStyle w:val="normaltextrun"/>
          <w:rFonts w:ascii="Arial" w:hAnsi="Arial" w:cs="Arial"/>
          <w:color w:val="000000"/>
          <w:sz w:val="22"/>
          <w:szCs w:val="22"/>
          <w:shd w:val="clear" w:color="auto" w:fill="FFFFFF"/>
        </w:rPr>
        <w:t>The secrecy regime in Division 150 of the ACNC Act prohibits ACNC officers from using or disclosing ‘protected ACNC information’, subject to certain exceptions. The exceptions are very limited and do not permit the ACNC to make public the grounds under the ACNC Act or the ACNC’s reasons for revoking a charity’s registration.  The exceptions also afford only limited scope for ACNC officers to comment publicly on investigations and regulatory outcomes.  Such an exception would be where the charity itself gave permission for this.</w:t>
      </w:r>
    </w:p>
    <w:p w14:paraId="6E2C7C5A" w14:textId="6B281256" w:rsidR="002E7472" w:rsidRPr="00786982" w:rsidRDefault="002E7472" w:rsidP="00786982">
      <w:pPr>
        <w:pStyle w:val="ListParagraph"/>
        <w:numPr>
          <w:ilvl w:val="0"/>
          <w:numId w:val="36"/>
        </w:numPr>
        <w:rPr>
          <w:rFonts w:ascii="Arial" w:hAnsi="Arial" w:cs="Arial"/>
          <w:sz w:val="22"/>
          <w:szCs w:val="22"/>
        </w:rPr>
      </w:pPr>
      <w:r>
        <w:rPr>
          <w:rStyle w:val="normaltextrun"/>
          <w:rFonts w:ascii="Arial" w:hAnsi="Arial" w:cs="Arial"/>
          <w:color w:val="000000"/>
          <w:sz w:val="22"/>
          <w:szCs w:val="22"/>
          <w:shd w:val="clear" w:color="auto" w:fill="FFFFFF"/>
        </w:rPr>
        <w:t>While it is highly likely that the ACNC did receive concerns about political activities of registered charities during the election period, due to the secrecy provisions the ACNC is unable to detail these concerns and any actions that may have been taken to address these concerns.</w:t>
      </w:r>
    </w:p>
    <w:p w14:paraId="19A67A1A" w14:textId="77777777" w:rsidR="00E26123" w:rsidRPr="00E26123" w:rsidRDefault="00E26123" w:rsidP="00E26123">
      <w:pPr>
        <w:rPr>
          <w:rFonts w:ascii="Arial" w:hAnsi="Arial" w:cs="Arial"/>
          <w:sz w:val="22"/>
          <w:szCs w:val="22"/>
        </w:rPr>
      </w:pPr>
    </w:p>
    <w:p w14:paraId="701FE9C8" w14:textId="241C08CB" w:rsidR="002E7472" w:rsidRPr="002E7472" w:rsidRDefault="002E7472" w:rsidP="00D77796">
      <w:pPr>
        <w:rPr>
          <w:rFonts w:ascii="Arial" w:hAnsi="Arial" w:cs="Arial"/>
          <w:b/>
          <w:sz w:val="22"/>
          <w:szCs w:val="22"/>
        </w:rPr>
      </w:pPr>
      <w:r w:rsidRPr="002E7472">
        <w:rPr>
          <w:rFonts w:ascii="Arial" w:hAnsi="Arial" w:cs="Arial"/>
          <w:b/>
          <w:sz w:val="22"/>
          <w:szCs w:val="22"/>
        </w:rPr>
        <w:t>Further information</w:t>
      </w:r>
    </w:p>
    <w:p w14:paraId="628A2544" w14:textId="597D7E33" w:rsidR="002E7472" w:rsidRDefault="002E7472" w:rsidP="00D77796">
      <w:pPr>
        <w:rPr>
          <w:rFonts w:ascii="Arial" w:hAnsi="Arial" w:cs="Arial"/>
          <w:sz w:val="22"/>
          <w:szCs w:val="22"/>
        </w:rPr>
      </w:pPr>
    </w:p>
    <w:p w14:paraId="3E5F4E42" w14:textId="2C9171D1" w:rsidR="002E7472" w:rsidRDefault="002E7472" w:rsidP="002E7472">
      <w:pPr>
        <w:pStyle w:val="ListParagraph"/>
        <w:numPr>
          <w:ilvl w:val="0"/>
          <w:numId w:val="36"/>
        </w:numPr>
        <w:rPr>
          <w:rFonts w:ascii="Arial" w:hAnsi="Arial" w:cs="Arial"/>
          <w:sz w:val="22"/>
          <w:szCs w:val="22"/>
        </w:rPr>
      </w:pPr>
      <w:r w:rsidRPr="002E7472">
        <w:rPr>
          <w:rFonts w:ascii="Arial" w:hAnsi="Arial" w:cs="Arial"/>
          <w:sz w:val="22"/>
          <w:szCs w:val="22"/>
        </w:rPr>
        <w:t xml:space="preserve">The ACNC can provide further information on any of the above, should this be useful to </w:t>
      </w:r>
      <w:r w:rsidR="00DA7133">
        <w:rPr>
          <w:rFonts w:ascii="Arial" w:hAnsi="Arial" w:cs="Arial"/>
          <w:sz w:val="22"/>
          <w:szCs w:val="22"/>
        </w:rPr>
        <w:t>the Committee</w:t>
      </w:r>
      <w:r w:rsidRPr="002E7472">
        <w:rPr>
          <w:rFonts w:ascii="Arial" w:hAnsi="Arial" w:cs="Arial"/>
          <w:sz w:val="22"/>
          <w:szCs w:val="22"/>
        </w:rPr>
        <w:t>. Contact information is provided below</w:t>
      </w:r>
      <w:r>
        <w:rPr>
          <w:rFonts w:ascii="Arial" w:hAnsi="Arial" w:cs="Arial"/>
          <w:sz w:val="22"/>
          <w:szCs w:val="22"/>
        </w:rPr>
        <w:t>:</w:t>
      </w:r>
    </w:p>
    <w:p w14:paraId="54B9B1AD" w14:textId="647AD869" w:rsidR="002E7472" w:rsidRDefault="002E7472" w:rsidP="002E7472">
      <w:pPr>
        <w:pStyle w:val="ListParagraph"/>
        <w:rPr>
          <w:rFonts w:ascii="Arial" w:hAnsi="Arial" w:cs="Arial"/>
          <w:sz w:val="22"/>
          <w:szCs w:val="22"/>
        </w:rPr>
      </w:pPr>
    </w:p>
    <w:p w14:paraId="57CD1999" w14:textId="25135EE7" w:rsidR="002E7472" w:rsidRDefault="002E7472" w:rsidP="002E7472">
      <w:pPr>
        <w:pStyle w:val="ListParagraph"/>
        <w:rPr>
          <w:rFonts w:ascii="Arial" w:hAnsi="Arial" w:cs="Arial"/>
          <w:sz w:val="22"/>
          <w:szCs w:val="22"/>
        </w:rPr>
      </w:pPr>
      <w:r>
        <w:rPr>
          <w:rFonts w:ascii="Arial" w:hAnsi="Arial" w:cs="Arial"/>
          <w:sz w:val="22"/>
          <w:szCs w:val="22"/>
        </w:rPr>
        <w:t>Natashia Allitt, Policy Manager</w:t>
      </w:r>
    </w:p>
    <w:p w14:paraId="732C8A46" w14:textId="7C025569" w:rsidR="002E7472" w:rsidRDefault="00D43036" w:rsidP="002E7472">
      <w:pPr>
        <w:pStyle w:val="ListParagraph"/>
        <w:rPr>
          <w:rFonts w:ascii="Arial" w:hAnsi="Arial" w:cs="Arial"/>
          <w:sz w:val="22"/>
          <w:szCs w:val="22"/>
        </w:rPr>
      </w:pPr>
      <w:hyperlink r:id="rId12" w:history="1">
        <w:r w:rsidR="002E7472" w:rsidRPr="00A8162C">
          <w:rPr>
            <w:rStyle w:val="Hyperlink"/>
            <w:rFonts w:ascii="Arial" w:hAnsi="Arial" w:cs="Arial"/>
            <w:sz w:val="22"/>
            <w:szCs w:val="22"/>
          </w:rPr>
          <w:t>Policy@acnc.gov.au</w:t>
        </w:r>
      </w:hyperlink>
    </w:p>
    <w:p w14:paraId="1BFE1FA8" w14:textId="77777777" w:rsidR="002E7472" w:rsidRDefault="002E7472" w:rsidP="00D77796">
      <w:pPr>
        <w:rPr>
          <w:rFonts w:ascii="Arial" w:hAnsi="Arial" w:cs="Arial"/>
          <w:sz w:val="22"/>
          <w:szCs w:val="22"/>
        </w:rPr>
      </w:pPr>
    </w:p>
    <w:p w14:paraId="07BCF63A" w14:textId="5CB4B7DA" w:rsidR="00D77796" w:rsidRPr="00825584" w:rsidRDefault="00D77796" w:rsidP="00D77796">
      <w:pPr>
        <w:rPr>
          <w:rFonts w:ascii="Arial" w:hAnsi="Arial" w:cs="Arial"/>
          <w:sz w:val="22"/>
          <w:szCs w:val="22"/>
        </w:rPr>
      </w:pPr>
      <w:r w:rsidRPr="00825584">
        <w:rPr>
          <w:rFonts w:ascii="Arial" w:hAnsi="Arial" w:cs="Arial"/>
          <w:sz w:val="22"/>
          <w:szCs w:val="22"/>
        </w:rPr>
        <w:t>Sincerely,</w:t>
      </w:r>
    </w:p>
    <w:p w14:paraId="2DEBDAA7" w14:textId="670C5057" w:rsidR="00481C89" w:rsidRDefault="00481C89" w:rsidP="00D77796">
      <w:pPr>
        <w:rPr>
          <w:rFonts w:ascii="Arial" w:hAnsi="Arial" w:cs="Arial"/>
          <w:sz w:val="22"/>
          <w:szCs w:val="22"/>
        </w:rPr>
      </w:pPr>
    </w:p>
    <w:p w14:paraId="5E730547" w14:textId="0C859D2A" w:rsidR="00E42B42" w:rsidRDefault="00E42B42" w:rsidP="00D77796">
      <w:pPr>
        <w:rPr>
          <w:rFonts w:ascii="Arial" w:hAnsi="Arial" w:cs="Arial"/>
          <w:sz w:val="22"/>
          <w:szCs w:val="22"/>
        </w:rPr>
      </w:pPr>
    </w:p>
    <w:p w14:paraId="7CEB0675" w14:textId="77777777" w:rsidR="00E42B42" w:rsidRPr="00825584" w:rsidRDefault="00E42B42" w:rsidP="00D77796">
      <w:pPr>
        <w:rPr>
          <w:rFonts w:ascii="Arial" w:hAnsi="Arial" w:cs="Arial"/>
          <w:sz w:val="22"/>
          <w:szCs w:val="22"/>
        </w:rPr>
      </w:pPr>
    </w:p>
    <w:p w14:paraId="603196F2" w14:textId="77777777" w:rsidR="0096569E" w:rsidRPr="00825584" w:rsidRDefault="0096569E" w:rsidP="00D77796">
      <w:pPr>
        <w:rPr>
          <w:rFonts w:ascii="Arial" w:hAnsi="Arial" w:cs="Arial"/>
          <w:sz w:val="22"/>
          <w:szCs w:val="22"/>
        </w:rPr>
      </w:pPr>
    </w:p>
    <w:p w14:paraId="540EF5EF" w14:textId="66E50F23" w:rsidR="00093D8E" w:rsidRPr="00825584" w:rsidRDefault="002E7472" w:rsidP="00093D8E">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iCs/>
          <w:sz w:val="22"/>
          <w:szCs w:val="22"/>
        </w:rPr>
        <w:t>The Hon Dr Gary Johns</w:t>
      </w:r>
    </w:p>
    <w:p w14:paraId="3C46BDAC" w14:textId="72C35AD1" w:rsidR="002E7472" w:rsidRDefault="002E7472" w:rsidP="00093D8E">
      <w:pPr>
        <w:pStyle w:val="paragraph"/>
        <w:spacing w:before="0" w:beforeAutospacing="0" w:after="0" w:afterAutospacing="0"/>
        <w:textAlignment w:val="baseline"/>
        <w:rPr>
          <w:rStyle w:val="normaltextrun"/>
          <w:rFonts w:ascii="Arial" w:hAnsi="Arial" w:cs="Arial"/>
          <w:iCs/>
          <w:sz w:val="22"/>
          <w:szCs w:val="22"/>
        </w:rPr>
      </w:pPr>
      <w:r>
        <w:rPr>
          <w:rStyle w:val="normaltextrun"/>
          <w:rFonts w:ascii="Arial" w:hAnsi="Arial" w:cs="Arial"/>
          <w:iCs/>
          <w:sz w:val="22"/>
          <w:szCs w:val="22"/>
        </w:rPr>
        <w:t>Commissioner</w:t>
      </w:r>
    </w:p>
    <w:p w14:paraId="5CFDC1D7" w14:textId="7C82AD7E" w:rsidR="00093D8E" w:rsidRPr="00825584" w:rsidRDefault="00093D8E" w:rsidP="00093D8E">
      <w:pPr>
        <w:pStyle w:val="paragraph"/>
        <w:spacing w:before="0" w:beforeAutospacing="0" w:after="0" w:afterAutospacing="0"/>
        <w:textAlignment w:val="baseline"/>
        <w:rPr>
          <w:rFonts w:ascii="Arial" w:hAnsi="Arial" w:cs="Arial"/>
          <w:sz w:val="22"/>
          <w:szCs w:val="22"/>
        </w:rPr>
      </w:pPr>
      <w:r w:rsidRPr="00825584">
        <w:rPr>
          <w:rStyle w:val="normaltextrun"/>
          <w:rFonts w:ascii="Arial" w:hAnsi="Arial" w:cs="Arial"/>
          <w:iCs/>
          <w:sz w:val="22"/>
          <w:szCs w:val="22"/>
        </w:rPr>
        <w:t>Australian Charities and Not-for-profits Commission</w:t>
      </w:r>
      <w:r w:rsidRPr="00825584">
        <w:rPr>
          <w:rStyle w:val="eop"/>
          <w:rFonts w:ascii="Arial" w:hAnsi="Arial" w:cs="Arial"/>
          <w:sz w:val="22"/>
          <w:szCs w:val="22"/>
        </w:rPr>
        <w:t> </w:t>
      </w:r>
    </w:p>
    <w:p w14:paraId="20C8C637" w14:textId="15FB968A" w:rsidR="00D77796" w:rsidRPr="00825584" w:rsidRDefault="00D77796" w:rsidP="00D77796">
      <w:pPr>
        <w:rPr>
          <w:rFonts w:ascii="Arial" w:hAnsi="Arial" w:cs="Arial"/>
          <w:sz w:val="22"/>
          <w:szCs w:val="22"/>
        </w:rPr>
      </w:pPr>
    </w:p>
    <w:p w14:paraId="6FCAE23A" w14:textId="77777777" w:rsidR="00DE433D" w:rsidRPr="00825584" w:rsidRDefault="00DE433D" w:rsidP="00D77796">
      <w:pPr>
        <w:rPr>
          <w:rFonts w:ascii="Arial" w:hAnsi="Arial" w:cs="Arial"/>
          <w:sz w:val="22"/>
          <w:szCs w:val="22"/>
        </w:rPr>
      </w:pPr>
    </w:p>
    <w:sectPr w:rsidR="00DE433D" w:rsidRPr="00825584" w:rsidSect="00D56713">
      <w:headerReference w:type="default" r:id="rId13"/>
      <w:footerReference w:type="default" r:id="rId14"/>
      <w:headerReference w:type="first" r:id="rId15"/>
      <w:footerReference w:type="first" r:id="rId16"/>
      <w:pgSz w:w="11900" w:h="16840"/>
      <w:pgMar w:top="2041" w:right="1247" w:bottom="2041" w:left="1247" w:header="283"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C1C62" w14:textId="77777777" w:rsidR="00BB7AC7" w:rsidRDefault="00BB7AC7">
      <w:r>
        <w:separator/>
      </w:r>
    </w:p>
  </w:endnote>
  <w:endnote w:type="continuationSeparator" w:id="0">
    <w:p w14:paraId="0533255D" w14:textId="77777777" w:rsidR="00BB7AC7" w:rsidRDefault="00BB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DA8B6" w14:textId="77777777" w:rsidR="00FF0500" w:rsidRDefault="004776DF">
    <w:pPr>
      <w:pStyle w:val="Footer"/>
    </w:pPr>
    <w:r>
      <w:rPr>
        <w:noProof/>
        <w:lang w:val="en-AU"/>
      </w:rPr>
      <w:drawing>
        <wp:anchor distT="0" distB="0" distL="114300" distR="114300" simplePos="0" relativeHeight="251659776" behindDoc="0" locked="0" layoutInCell="1" allowOverlap="1" wp14:anchorId="28691B06" wp14:editId="07777777">
          <wp:simplePos x="0" y="0"/>
          <wp:positionH relativeFrom="column">
            <wp:posOffset>4217670</wp:posOffset>
          </wp:positionH>
          <wp:positionV relativeFrom="paragraph">
            <wp:posOffset>-18415</wp:posOffset>
          </wp:positionV>
          <wp:extent cx="2258695" cy="645795"/>
          <wp:effectExtent l="0" t="0" r="0" b="0"/>
          <wp:wrapTight wrapText="bothSides">
            <wp:wrapPolygon edited="0">
              <wp:start x="0" y="0"/>
              <wp:lineTo x="0" y="21027"/>
              <wp:lineTo x="21497" y="21027"/>
              <wp:lineTo x="21497" y="0"/>
              <wp:lineTo x="0" y="0"/>
            </wp:wrapPolygon>
          </wp:wrapTight>
          <wp:docPr id="16" name="Picture 16" descr="footer_address_2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er_address_200dpi_3.png"/>
                  <pic:cNvPicPr>
                    <a:picLocks noChangeAspect="1" noChangeArrowheads="1"/>
                  </pic:cNvPicPr>
                </pic:nvPicPr>
                <pic:blipFill>
                  <a:blip r:embed="rId1">
                    <a:extLst>
                      <a:ext uri="{28A0092B-C50C-407E-A947-70E740481C1C}">
                        <a14:useLocalDpi xmlns:a14="http://schemas.microsoft.com/office/drawing/2010/main" val="0"/>
                      </a:ext>
                    </a:extLst>
                  </a:blip>
                  <a:srcRect t="30878"/>
                  <a:stretch>
                    <a:fillRect/>
                  </a:stretch>
                </pic:blipFill>
                <pic:spPr bwMode="auto">
                  <a:xfrm>
                    <a:off x="0" y="0"/>
                    <a:ext cx="2258695" cy="6457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9398" w14:textId="2B79107F" w:rsidR="00FF0500" w:rsidRDefault="002D0235">
    <w:pPr>
      <w:pStyle w:val="Footer"/>
    </w:pPr>
    <w:r>
      <w:rPr>
        <w:noProof/>
        <w:lang w:val="en-AU"/>
      </w:rPr>
      <w:drawing>
        <wp:anchor distT="0" distB="0" distL="114300" distR="114300" simplePos="0" relativeHeight="251658752" behindDoc="0" locked="0" layoutInCell="1" allowOverlap="1" wp14:anchorId="784C7238" wp14:editId="25416151">
          <wp:simplePos x="0" y="0"/>
          <wp:positionH relativeFrom="column">
            <wp:posOffset>4483100</wp:posOffset>
          </wp:positionH>
          <wp:positionV relativeFrom="paragraph">
            <wp:posOffset>-320463</wp:posOffset>
          </wp:positionV>
          <wp:extent cx="2258695" cy="934720"/>
          <wp:effectExtent l="0" t="0" r="8255" b="0"/>
          <wp:wrapNone/>
          <wp:docPr id="19" name="Picture 19" descr="footer_address_2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ter_address_200dpi_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695" cy="934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776DF">
      <w:rPr>
        <w:noProof/>
        <w:lang w:val="en-AU"/>
      </w:rPr>
      <w:drawing>
        <wp:anchor distT="0" distB="0" distL="114300" distR="114300" simplePos="0" relativeHeight="251656704" behindDoc="0" locked="0" layoutInCell="1" allowOverlap="1" wp14:anchorId="0F0C4FCD" wp14:editId="5E7A9667">
          <wp:simplePos x="0" y="0"/>
          <wp:positionH relativeFrom="column">
            <wp:posOffset>-777875</wp:posOffset>
          </wp:positionH>
          <wp:positionV relativeFrom="paragraph">
            <wp:posOffset>-1272117</wp:posOffset>
          </wp:positionV>
          <wp:extent cx="1981200" cy="1879600"/>
          <wp:effectExtent l="0" t="0" r="0" b="6350"/>
          <wp:wrapNone/>
          <wp:docPr id="20" name="Picture 20" descr="footer_2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_200dpi_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87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A9BF6" w14:textId="77777777" w:rsidR="00BB7AC7" w:rsidRDefault="00BB7AC7">
      <w:r>
        <w:separator/>
      </w:r>
    </w:p>
  </w:footnote>
  <w:footnote w:type="continuationSeparator" w:id="0">
    <w:p w14:paraId="4617527B" w14:textId="77777777" w:rsidR="00BB7AC7" w:rsidRDefault="00BB7AC7">
      <w:r>
        <w:continuationSeparator/>
      </w:r>
    </w:p>
  </w:footnote>
  <w:footnote w:id="1">
    <w:p w14:paraId="1E55A92F" w14:textId="155ACBE2" w:rsidR="00612269" w:rsidRPr="00612269" w:rsidRDefault="00612269">
      <w:pPr>
        <w:pStyle w:val="FootnoteText"/>
        <w:rPr>
          <w:lang w:val="en-AU"/>
        </w:rPr>
      </w:pPr>
      <w:r>
        <w:rPr>
          <w:rStyle w:val="FootnoteReference"/>
        </w:rPr>
        <w:footnoteRef/>
      </w:r>
      <w:r>
        <w:t xml:space="preserve"> </w:t>
      </w:r>
      <w:r>
        <w:rPr>
          <w:lang w:val="en-AU"/>
        </w:rPr>
        <w:t>As at 15 August 2019.  See acnc.gov.au for the most current figure for registered charities.</w:t>
      </w:r>
    </w:p>
  </w:footnote>
  <w:footnote w:id="2">
    <w:p w14:paraId="3D8898DE" w14:textId="6B338DC2" w:rsidR="0067728A" w:rsidRPr="0067728A" w:rsidRDefault="0067728A">
      <w:pPr>
        <w:pStyle w:val="FootnoteText"/>
        <w:rPr>
          <w:lang w:val="en-AU"/>
        </w:rPr>
      </w:pPr>
      <w:r>
        <w:rPr>
          <w:rStyle w:val="FootnoteReference"/>
        </w:rPr>
        <w:footnoteRef/>
      </w:r>
      <w:r>
        <w:t xml:space="preserve"> </w:t>
      </w:r>
      <w:hyperlink r:id="rId1" w:history="1">
        <w:r w:rsidRPr="0067728A">
          <w:rPr>
            <w:rStyle w:val="Hyperlink"/>
            <w:lang w:val="en-AU"/>
          </w:rPr>
          <w:t>Australian Charities Report 2017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CF59F" w14:textId="77777777" w:rsidR="00FF0500" w:rsidRDefault="004776DF">
    <w:pPr>
      <w:pStyle w:val="Header"/>
    </w:pPr>
    <w:r>
      <w:rPr>
        <w:noProof/>
        <w:lang w:val="en-AU"/>
      </w:rPr>
      <w:drawing>
        <wp:anchor distT="0" distB="0" distL="114300" distR="114300" simplePos="0" relativeHeight="251657728" behindDoc="0" locked="0" layoutInCell="1" allowOverlap="1" wp14:anchorId="45DEA426" wp14:editId="07777777">
          <wp:simplePos x="0" y="0"/>
          <wp:positionH relativeFrom="column">
            <wp:posOffset>4572000</wp:posOffset>
          </wp:positionH>
          <wp:positionV relativeFrom="paragraph">
            <wp:posOffset>-400050</wp:posOffset>
          </wp:positionV>
          <wp:extent cx="1483360" cy="1463040"/>
          <wp:effectExtent l="0" t="0" r="0" b="0"/>
          <wp:wrapNone/>
          <wp:docPr id="12" name="Picture 12" descr="follower_graphic_200dp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llower_graphic_200dpi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DB5E8" w14:textId="77777777" w:rsidR="00D56713" w:rsidRDefault="00D56713">
    <w:pPr>
      <w:pStyle w:val="Header"/>
    </w:pPr>
  </w:p>
  <w:p w14:paraId="44138A7A" w14:textId="7B2E700F" w:rsidR="00FF0500" w:rsidRDefault="00FF0500">
    <w:pPr>
      <w:pStyle w:val="Header"/>
      <w:rPr>
        <w:noProof/>
        <w:lang w:val="en-AU"/>
      </w:rPr>
    </w:pPr>
  </w:p>
  <w:p w14:paraId="3F8DE5E9" w14:textId="5305DAFB" w:rsidR="00D141A7" w:rsidRDefault="00D141A7">
    <w:pPr>
      <w:pStyle w:val="Header"/>
      <w:rPr>
        <w:noProof/>
        <w:lang w:val="en-AU"/>
      </w:rPr>
    </w:pPr>
    <w:r>
      <w:rPr>
        <w:noProof/>
        <w:lang w:val="en-AU"/>
      </w:rPr>
      <w:drawing>
        <wp:anchor distT="0" distB="0" distL="114300" distR="114300" simplePos="0" relativeHeight="251661824" behindDoc="1" locked="0" layoutInCell="1" allowOverlap="1" wp14:anchorId="22AEAD12" wp14:editId="223255DF">
          <wp:simplePos x="0" y="0"/>
          <wp:positionH relativeFrom="margin">
            <wp:posOffset>0</wp:posOffset>
          </wp:positionH>
          <wp:positionV relativeFrom="paragraph">
            <wp:posOffset>8890</wp:posOffset>
          </wp:positionV>
          <wp:extent cx="1295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c_cobranded_rgb.png"/>
                  <pic:cNvPicPr/>
                </pic:nvPicPr>
                <pic:blipFill rotWithShape="1">
                  <a:blip r:embed="rId1">
                    <a:extLst>
                      <a:ext uri="{28A0092B-C50C-407E-A947-70E740481C1C}">
                        <a14:useLocalDpi xmlns:a14="http://schemas.microsoft.com/office/drawing/2010/main" val="0"/>
                      </a:ext>
                    </a:extLst>
                  </a:blip>
                  <a:srcRect r="62555"/>
                  <a:stretch/>
                </pic:blipFill>
                <pic:spPr bwMode="auto">
                  <a:xfrm>
                    <a:off x="0" y="0"/>
                    <a:ext cx="12954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62848" behindDoc="1" locked="0" layoutInCell="1" allowOverlap="1" wp14:anchorId="001506AF" wp14:editId="41AE23AB">
          <wp:simplePos x="0" y="0"/>
          <wp:positionH relativeFrom="margin">
            <wp:posOffset>3972560</wp:posOffset>
          </wp:positionH>
          <wp:positionV relativeFrom="paragraph">
            <wp:posOffset>-635</wp:posOffset>
          </wp:positionV>
          <wp:extent cx="1992629" cy="91440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nc_cobranded_rgb.png"/>
                  <pic:cNvPicPr/>
                </pic:nvPicPr>
                <pic:blipFill rotWithShape="1">
                  <a:blip r:embed="rId1">
                    <a:extLst>
                      <a:ext uri="{28A0092B-C50C-407E-A947-70E740481C1C}">
                        <a14:useLocalDpi xmlns:a14="http://schemas.microsoft.com/office/drawing/2010/main" val="0"/>
                      </a:ext>
                    </a:extLst>
                  </a:blip>
                  <a:srcRect l="42401"/>
                  <a:stretch/>
                </pic:blipFill>
                <pic:spPr bwMode="auto">
                  <a:xfrm>
                    <a:off x="0" y="0"/>
                    <a:ext cx="1992629"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A01946" w14:textId="7CF65423" w:rsidR="00D141A7" w:rsidRDefault="00D141A7">
    <w:pPr>
      <w:pStyle w:val="Header"/>
      <w:rPr>
        <w:noProof/>
        <w:lang w:val="en-AU"/>
      </w:rPr>
    </w:pPr>
  </w:p>
  <w:p w14:paraId="1106CE62" w14:textId="4D284F41" w:rsidR="00D141A7" w:rsidRDefault="00D141A7">
    <w:pPr>
      <w:pStyle w:val="Header"/>
      <w:rPr>
        <w:noProof/>
        <w:lang w:val="en-AU"/>
      </w:rPr>
    </w:pPr>
  </w:p>
  <w:p w14:paraId="1E755FA9" w14:textId="17E39137" w:rsidR="00D141A7" w:rsidRDefault="00D141A7">
    <w:pPr>
      <w:pStyle w:val="Header"/>
      <w:rPr>
        <w:noProof/>
        <w:lang w:val="en-AU"/>
      </w:rPr>
    </w:pPr>
  </w:p>
  <w:p w14:paraId="1046B503" w14:textId="039AF941" w:rsidR="00D141A7" w:rsidRDefault="00D141A7">
    <w:pPr>
      <w:pStyle w:val="Header"/>
      <w:rPr>
        <w:noProof/>
        <w:lang w:val="en-AU"/>
      </w:rPr>
    </w:pPr>
  </w:p>
  <w:p w14:paraId="6B58D8D3" w14:textId="4A8308EB" w:rsidR="00D141A7" w:rsidRDefault="00D141A7">
    <w:pPr>
      <w:pStyle w:val="Header"/>
      <w:rPr>
        <w:noProof/>
        <w:lang w:val="en-AU"/>
      </w:rPr>
    </w:pPr>
  </w:p>
  <w:p w14:paraId="57ECEA0D" w14:textId="36DBEA10" w:rsidR="00D141A7" w:rsidRDefault="00D141A7">
    <w:pPr>
      <w:pStyle w:val="Header"/>
      <w:rPr>
        <w:noProof/>
        <w:lang w:val="en-AU"/>
      </w:rPr>
    </w:pPr>
  </w:p>
  <w:p w14:paraId="5CEFBED4" w14:textId="7478A2AE" w:rsidR="00D141A7" w:rsidRDefault="00D14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7E21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BBE5C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862AE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258F6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004C7F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24D7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21C9F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25AEC3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4867C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57AA49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E87E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A2A335C"/>
    <w:lvl w:ilvl="0">
      <w:numFmt w:val="bullet"/>
      <w:lvlText w:val="*"/>
      <w:lvlJc w:val="left"/>
      <w:pPr>
        <w:ind w:left="0" w:firstLine="0"/>
      </w:pPr>
    </w:lvl>
  </w:abstractNum>
  <w:abstractNum w:abstractNumId="12" w15:restartNumberingAfterBreak="0">
    <w:nsid w:val="05F10C39"/>
    <w:multiLevelType w:val="hybridMultilevel"/>
    <w:tmpl w:val="4BB4B8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88497C"/>
    <w:multiLevelType w:val="hybridMultilevel"/>
    <w:tmpl w:val="9AD6A01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45414B"/>
    <w:multiLevelType w:val="hybridMultilevel"/>
    <w:tmpl w:val="54E8AE6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38320C6"/>
    <w:multiLevelType w:val="hybridMultilevel"/>
    <w:tmpl w:val="1CA68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AF3668"/>
    <w:multiLevelType w:val="hybridMultilevel"/>
    <w:tmpl w:val="F7DEA9A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CF4442C"/>
    <w:multiLevelType w:val="hybridMultilevel"/>
    <w:tmpl w:val="A05EB9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3A5F46"/>
    <w:multiLevelType w:val="hybridMultilevel"/>
    <w:tmpl w:val="8E56F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4F5EC6"/>
    <w:multiLevelType w:val="hybridMultilevel"/>
    <w:tmpl w:val="3D1A8B5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5B92AB9"/>
    <w:multiLevelType w:val="hybridMultilevel"/>
    <w:tmpl w:val="BBD2FF66"/>
    <w:lvl w:ilvl="0" w:tplc="C9963E42">
      <w:start w:val="6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C27ED5"/>
    <w:multiLevelType w:val="hybridMultilevel"/>
    <w:tmpl w:val="FA927E24"/>
    <w:lvl w:ilvl="0" w:tplc="7B3C34B4">
      <w:start w:val="2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543422"/>
    <w:multiLevelType w:val="hybridMultilevel"/>
    <w:tmpl w:val="B7E8D26A"/>
    <w:lvl w:ilvl="0" w:tplc="7B3C34B4">
      <w:start w:val="23"/>
      <w:numFmt w:val="bullet"/>
      <w:lvlText w:val="-"/>
      <w:lvlJc w:val="left"/>
      <w:pPr>
        <w:ind w:left="720" w:hanging="360"/>
      </w:pPr>
      <w:rPr>
        <w:rFonts w:ascii="Arial" w:eastAsia="Times New Roman" w:hAnsi="Arial" w:cs="Aria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F53C40"/>
    <w:multiLevelType w:val="hybridMultilevel"/>
    <w:tmpl w:val="3FD05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34506B"/>
    <w:multiLevelType w:val="hybridMultilevel"/>
    <w:tmpl w:val="DD826E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14489A"/>
    <w:multiLevelType w:val="hybridMultilevel"/>
    <w:tmpl w:val="E2185D8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AB010ED"/>
    <w:multiLevelType w:val="hybridMultilevel"/>
    <w:tmpl w:val="07DE501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0633C9B"/>
    <w:multiLevelType w:val="hybridMultilevel"/>
    <w:tmpl w:val="6B52B66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1EA336D"/>
    <w:multiLevelType w:val="hybridMultilevel"/>
    <w:tmpl w:val="419434F8"/>
    <w:lvl w:ilvl="0" w:tplc="7B3C34B4">
      <w:start w:val="2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540F4E"/>
    <w:multiLevelType w:val="hybridMultilevel"/>
    <w:tmpl w:val="C8D08AC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5448B3"/>
    <w:multiLevelType w:val="hybridMultilevel"/>
    <w:tmpl w:val="94422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4D2056"/>
    <w:multiLevelType w:val="hybridMultilevel"/>
    <w:tmpl w:val="6840B85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8641115"/>
    <w:multiLevelType w:val="hybridMultilevel"/>
    <w:tmpl w:val="106A34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722D6E"/>
    <w:multiLevelType w:val="hybridMultilevel"/>
    <w:tmpl w:val="0830689A"/>
    <w:lvl w:ilvl="0" w:tplc="7B3C34B4">
      <w:start w:val="23"/>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A909FB"/>
    <w:multiLevelType w:val="hybridMultilevel"/>
    <w:tmpl w:val="3E94377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4"/>
  </w:num>
  <w:num w:numId="13">
    <w:abstractNumId w:val="25"/>
  </w:num>
  <w:num w:numId="14">
    <w:abstractNumId w:val="17"/>
  </w:num>
  <w:num w:numId="15">
    <w:abstractNumId w:val="26"/>
  </w:num>
  <w:num w:numId="16">
    <w:abstractNumId w:val="27"/>
  </w:num>
  <w:num w:numId="17">
    <w:abstractNumId w:val="16"/>
  </w:num>
  <w:num w:numId="18">
    <w:abstractNumId w:val="19"/>
  </w:num>
  <w:num w:numId="19">
    <w:abstractNumId w:val="34"/>
  </w:num>
  <w:num w:numId="20">
    <w:abstractNumId w:val="28"/>
  </w:num>
  <w:num w:numId="21">
    <w:abstractNumId w:val="29"/>
  </w:num>
  <w:num w:numId="22">
    <w:abstractNumId w:val="20"/>
  </w:num>
  <w:num w:numId="23">
    <w:abstractNumId w:val="32"/>
  </w:num>
  <w:num w:numId="24">
    <w:abstractNumId w:val="30"/>
  </w:num>
  <w:num w:numId="25">
    <w:abstractNumId w:val="18"/>
  </w:num>
  <w:num w:numId="26">
    <w:abstractNumId w:val="21"/>
  </w:num>
  <w:num w:numId="27">
    <w:abstractNumId w:val="33"/>
  </w:num>
  <w:num w:numId="28">
    <w:abstractNumId w:val="22"/>
  </w:num>
  <w:num w:numId="29">
    <w:abstractNumId w:val="15"/>
  </w:num>
  <w:num w:numId="30">
    <w:abstractNumId w:val="13"/>
  </w:num>
  <w:num w:numId="31">
    <w:abstractNumId w:val="14"/>
  </w:num>
  <w:num w:numId="32">
    <w:abstractNumId w:val="12"/>
  </w:num>
  <w:num w:numId="33">
    <w:abstractNumId w:val="11"/>
    <w:lvlOverride w:ilvl="0">
      <w:lvl w:ilvl="0">
        <w:numFmt w:val="bullet"/>
        <w:lvlText w:val=""/>
        <w:legacy w:legacy="1" w:legacySpace="0" w:legacyIndent="0"/>
        <w:lvlJc w:val="left"/>
        <w:pPr>
          <w:ind w:left="0" w:firstLine="0"/>
        </w:pPr>
        <w:rPr>
          <w:rFonts w:ascii="Symbol" w:hAnsi="Symbol" w:hint="default"/>
        </w:rPr>
      </w:lvl>
    </w:lvlOverride>
  </w:num>
  <w:num w:numId="34">
    <w:abstractNumId w:val="11"/>
    <w:lvlOverride w:ilvl="0">
      <w:lvl w:ilvl="0">
        <w:numFmt w:val="bullet"/>
        <w:lvlText w:val=""/>
        <w:legacy w:legacy="1" w:legacySpace="0" w:legacyIndent="360"/>
        <w:lvlJc w:val="left"/>
        <w:pPr>
          <w:ind w:hanging="360"/>
        </w:pPr>
        <w:rPr>
          <w:rFonts w:ascii="Symbol" w:hAnsi="Symbol" w:hint="default"/>
        </w:rPr>
      </w:lvl>
    </w:lvlOverride>
  </w:num>
  <w:num w:numId="35">
    <w:abstractNumId w:val="2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1E"/>
    <w:rsid w:val="00002369"/>
    <w:rsid w:val="0000426F"/>
    <w:rsid w:val="00011176"/>
    <w:rsid w:val="0001455E"/>
    <w:rsid w:val="00014B7B"/>
    <w:rsid w:val="00017538"/>
    <w:rsid w:val="00017774"/>
    <w:rsid w:val="00017CB6"/>
    <w:rsid w:val="00024ACF"/>
    <w:rsid w:val="0005295D"/>
    <w:rsid w:val="000657B7"/>
    <w:rsid w:val="00066058"/>
    <w:rsid w:val="00067C3A"/>
    <w:rsid w:val="00074F0F"/>
    <w:rsid w:val="00084D06"/>
    <w:rsid w:val="00093D8E"/>
    <w:rsid w:val="000A66C1"/>
    <w:rsid w:val="000B17D3"/>
    <w:rsid w:val="000D64B9"/>
    <w:rsid w:val="00103235"/>
    <w:rsid w:val="00103532"/>
    <w:rsid w:val="00110C69"/>
    <w:rsid w:val="0011740E"/>
    <w:rsid w:val="00121626"/>
    <w:rsid w:val="00135A47"/>
    <w:rsid w:val="00153FC4"/>
    <w:rsid w:val="00154177"/>
    <w:rsid w:val="00160EC5"/>
    <w:rsid w:val="00163DF9"/>
    <w:rsid w:val="00167ABB"/>
    <w:rsid w:val="001728C1"/>
    <w:rsid w:val="0017358E"/>
    <w:rsid w:val="00173D34"/>
    <w:rsid w:val="00174904"/>
    <w:rsid w:val="00176668"/>
    <w:rsid w:val="00182223"/>
    <w:rsid w:val="00187775"/>
    <w:rsid w:val="001B3533"/>
    <w:rsid w:val="001C06A3"/>
    <w:rsid w:val="001C1D0E"/>
    <w:rsid w:val="001E4E25"/>
    <w:rsid w:val="002167A5"/>
    <w:rsid w:val="002237A0"/>
    <w:rsid w:val="00235603"/>
    <w:rsid w:val="00242EB5"/>
    <w:rsid w:val="00246C6B"/>
    <w:rsid w:val="00251D72"/>
    <w:rsid w:val="00257F8B"/>
    <w:rsid w:val="002665E4"/>
    <w:rsid w:val="00275430"/>
    <w:rsid w:val="00281B9B"/>
    <w:rsid w:val="002A534A"/>
    <w:rsid w:val="002B2CB8"/>
    <w:rsid w:val="002B442F"/>
    <w:rsid w:val="002B769C"/>
    <w:rsid w:val="002D0235"/>
    <w:rsid w:val="002E260B"/>
    <w:rsid w:val="002E5193"/>
    <w:rsid w:val="002E7472"/>
    <w:rsid w:val="003068CA"/>
    <w:rsid w:val="0031169D"/>
    <w:rsid w:val="00312778"/>
    <w:rsid w:val="00317B5F"/>
    <w:rsid w:val="00330C06"/>
    <w:rsid w:val="00334AF9"/>
    <w:rsid w:val="00342B7A"/>
    <w:rsid w:val="003439A0"/>
    <w:rsid w:val="00346214"/>
    <w:rsid w:val="003516E7"/>
    <w:rsid w:val="00352590"/>
    <w:rsid w:val="003526A6"/>
    <w:rsid w:val="003568B4"/>
    <w:rsid w:val="00361D88"/>
    <w:rsid w:val="00365D8A"/>
    <w:rsid w:val="00367BD4"/>
    <w:rsid w:val="0037379E"/>
    <w:rsid w:val="00375F96"/>
    <w:rsid w:val="003764A0"/>
    <w:rsid w:val="00376FDA"/>
    <w:rsid w:val="003848B1"/>
    <w:rsid w:val="003902B9"/>
    <w:rsid w:val="003A031A"/>
    <w:rsid w:val="003B3DB9"/>
    <w:rsid w:val="003D3200"/>
    <w:rsid w:val="00404012"/>
    <w:rsid w:val="00404A83"/>
    <w:rsid w:val="0041441A"/>
    <w:rsid w:val="00421971"/>
    <w:rsid w:val="00422268"/>
    <w:rsid w:val="0042436A"/>
    <w:rsid w:val="00425456"/>
    <w:rsid w:val="00425985"/>
    <w:rsid w:val="00437D0A"/>
    <w:rsid w:val="004404C9"/>
    <w:rsid w:val="00446932"/>
    <w:rsid w:val="0044714F"/>
    <w:rsid w:val="0045076E"/>
    <w:rsid w:val="004776DF"/>
    <w:rsid w:val="00481367"/>
    <w:rsid w:val="00481C89"/>
    <w:rsid w:val="00490E77"/>
    <w:rsid w:val="00492618"/>
    <w:rsid w:val="0049306C"/>
    <w:rsid w:val="004A62BD"/>
    <w:rsid w:val="004C1D90"/>
    <w:rsid w:val="004D1BA1"/>
    <w:rsid w:val="004D3C15"/>
    <w:rsid w:val="004F1326"/>
    <w:rsid w:val="005143A1"/>
    <w:rsid w:val="00524358"/>
    <w:rsid w:val="005257E6"/>
    <w:rsid w:val="00525D25"/>
    <w:rsid w:val="005260FD"/>
    <w:rsid w:val="0053041A"/>
    <w:rsid w:val="005504AB"/>
    <w:rsid w:val="005529ED"/>
    <w:rsid w:val="00552D72"/>
    <w:rsid w:val="0056796C"/>
    <w:rsid w:val="00575101"/>
    <w:rsid w:val="00582FB1"/>
    <w:rsid w:val="005913FF"/>
    <w:rsid w:val="005926F3"/>
    <w:rsid w:val="005A3C82"/>
    <w:rsid w:val="005B46F0"/>
    <w:rsid w:val="005B4D49"/>
    <w:rsid w:val="005C0E1F"/>
    <w:rsid w:val="005C50E0"/>
    <w:rsid w:val="005D745E"/>
    <w:rsid w:val="005E17F4"/>
    <w:rsid w:val="005F240F"/>
    <w:rsid w:val="0060671D"/>
    <w:rsid w:val="00612269"/>
    <w:rsid w:val="00632593"/>
    <w:rsid w:val="0064170D"/>
    <w:rsid w:val="00650A00"/>
    <w:rsid w:val="00654CB7"/>
    <w:rsid w:val="006611AC"/>
    <w:rsid w:val="00663A0A"/>
    <w:rsid w:val="006655B8"/>
    <w:rsid w:val="00672DF8"/>
    <w:rsid w:val="0067728A"/>
    <w:rsid w:val="00695C7F"/>
    <w:rsid w:val="006A11F2"/>
    <w:rsid w:val="006A636B"/>
    <w:rsid w:val="006B2B58"/>
    <w:rsid w:val="006B417A"/>
    <w:rsid w:val="006B7A16"/>
    <w:rsid w:val="006D4A9C"/>
    <w:rsid w:val="006E0785"/>
    <w:rsid w:val="006F261E"/>
    <w:rsid w:val="007120BF"/>
    <w:rsid w:val="00725490"/>
    <w:rsid w:val="00766FA9"/>
    <w:rsid w:val="00777808"/>
    <w:rsid w:val="00777BEC"/>
    <w:rsid w:val="00782622"/>
    <w:rsid w:val="00783BD1"/>
    <w:rsid w:val="00786982"/>
    <w:rsid w:val="00792179"/>
    <w:rsid w:val="007B0189"/>
    <w:rsid w:val="007B091F"/>
    <w:rsid w:val="007B47CF"/>
    <w:rsid w:val="007D1DC7"/>
    <w:rsid w:val="007D30CE"/>
    <w:rsid w:val="007E7A5A"/>
    <w:rsid w:val="007F131E"/>
    <w:rsid w:val="007F1E81"/>
    <w:rsid w:val="007F201A"/>
    <w:rsid w:val="00800425"/>
    <w:rsid w:val="00801DEB"/>
    <w:rsid w:val="00803782"/>
    <w:rsid w:val="00805519"/>
    <w:rsid w:val="00810B4E"/>
    <w:rsid w:val="008162E5"/>
    <w:rsid w:val="00825584"/>
    <w:rsid w:val="0082588B"/>
    <w:rsid w:val="008424AC"/>
    <w:rsid w:val="008522CB"/>
    <w:rsid w:val="00853838"/>
    <w:rsid w:val="00870032"/>
    <w:rsid w:val="00881037"/>
    <w:rsid w:val="00884C46"/>
    <w:rsid w:val="00892F4E"/>
    <w:rsid w:val="00896FAA"/>
    <w:rsid w:val="008A23A3"/>
    <w:rsid w:val="008A30E9"/>
    <w:rsid w:val="008A752A"/>
    <w:rsid w:val="008B00FC"/>
    <w:rsid w:val="008C5904"/>
    <w:rsid w:val="008F7D4D"/>
    <w:rsid w:val="00903312"/>
    <w:rsid w:val="00923DDC"/>
    <w:rsid w:val="009369D9"/>
    <w:rsid w:val="009445A7"/>
    <w:rsid w:val="009476DC"/>
    <w:rsid w:val="00956574"/>
    <w:rsid w:val="00956CC1"/>
    <w:rsid w:val="0096569E"/>
    <w:rsid w:val="00966550"/>
    <w:rsid w:val="0098159F"/>
    <w:rsid w:val="0098651B"/>
    <w:rsid w:val="00993A40"/>
    <w:rsid w:val="00993C74"/>
    <w:rsid w:val="00994E48"/>
    <w:rsid w:val="009B27EB"/>
    <w:rsid w:val="009C539D"/>
    <w:rsid w:val="009E362C"/>
    <w:rsid w:val="009E586A"/>
    <w:rsid w:val="009E6DE4"/>
    <w:rsid w:val="009F18AA"/>
    <w:rsid w:val="009F1B7F"/>
    <w:rsid w:val="009F4203"/>
    <w:rsid w:val="009F78EC"/>
    <w:rsid w:val="00A02A67"/>
    <w:rsid w:val="00A057F0"/>
    <w:rsid w:val="00A17F0C"/>
    <w:rsid w:val="00A26DD7"/>
    <w:rsid w:val="00A71DD9"/>
    <w:rsid w:val="00A73896"/>
    <w:rsid w:val="00A755D7"/>
    <w:rsid w:val="00A76332"/>
    <w:rsid w:val="00A76963"/>
    <w:rsid w:val="00A85575"/>
    <w:rsid w:val="00A86212"/>
    <w:rsid w:val="00A87A0F"/>
    <w:rsid w:val="00A9069A"/>
    <w:rsid w:val="00A9419B"/>
    <w:rsid w:val="00AA7C70"/>
    <w:rsid w:val="00AB494B"/>
    <w:rsid w:val="00AC4402"/>
    <w:rsid w:val="00AD47DA"/>
    <w:rsid w:val="00AD7D88"/>
    <w:rsid w:val="00AE2E68"/>
    <w:rsid w:val="00AE38D9"/>
    <w:rsid w:val="00AE543C"/>
    <w:rsid w:val="00AE5822"/>
    <w:rsid w:val="00AF3A28"/>
    <w:rsid w:val="00B022C6"/>
    <w:rsid w:val="00B07316"/>
    <w:rsid w:val="00B10453"/>
    <w:rsid w:val="00B10E1A"/>
    <w:rsid w:val="00B25138"/>
    <w:rsid w:val="00B2564C"/>
    <w:rsid w:val="00B271A6"/>
    <w:rsid w:val="00B32437"/>
    <w:rsid w:val="00B367F7"/>
    <w:rsid w:val="00B40354"/>
    <w:rsid w:val="00B4202C"/>
    <w:rsid w:val="00B6231A"/>
    <w:rsid w:val="00B624B4"/>
    <w:rsid w:val="00B634DB"/>
    <w:rsid w:val="00B66A65"/>
    <w:rsid w:val="00B8504C"/>
    <w:rsid w:val="00B868DA"/>
    <w:rsid w:val="00BA41FA"/>
    <w:rsid w:val="00BA4F8C"/>
    <w:rsid w:val="00BB6A41"/>
    <w:rsid w:val="00BB7AC7"/>
    <w:rsid w:val="00BC3341"/>
    <w:rsid w:val="00BC4D72"/>
    <w:rsid w:val="00BC569C"/>
    <w:rsid w:val="00BC697E"/>
    <w:rsid w:val="00BE31B1"/>
    <w:rsid w:val="00BE39C6"/>
    <w:rsid w:val="00BE54D6"/>
    <w:rsid w:val="00BF07F8"/>
    <w:rsid w:val="00BF6741"/>
    <w:rsid w:val="00C00C96"/>
    <w:rsid w:val="00C02811"/>
    <w:rsid w:val="00C04D47"/>
    <w:rsid w:val="00C1169D"/>
    <w:rsid w:val="00C165BC"/>
    <w:rsid w:val="00C248ED"/>
    <w:rsid w:val="00C30FBB"/>
    <w:rsid w:val="00C31762"/>
    <w:rsid w:val="00C35059"/>
    <w:rsid w:val="00C44282"/>
    <w:rsid w:val="00C55F77"/>
    <w:rsid w:val="00C62DD7"/>
    <w:rsid w:val="00C754BE"/>
    <w:rsid w:val="00C803D2"/>
    <w:rsid w:val="00C824B8"/>
    <w:rsid w:val="00C82C8B"/>
    <w:rsid w:val="00C91182"/>
    <w:rsid w:val="00C92C9A"/>
    <w:rsid w:val="00C960AD"/>
    <w:rsid w:val="00CB16D8"/>
    <w:rsid w:val="00CC04BA"/>
    <w:rsid w:val="00CC3B8E"/>
    <w:rsid w:val="00CF1E6F"/>
    <w:rsid w:val="00D13432"/>
    <w:rsid w:val="00D141A7"/>
    <w:rsid w:val="00D22696"/>
    <w:rsid w:val="00D24C86"/>
    <w:rsid w:val="00D2589E"/>
    <w:rsid w:val="00D42AF0"/>
    <w:rsid w:val="00D43036"/>
    <w:rsid w:val="00D4316F"/>
    <w:rsid w:val="00D51D0A"/>
    <w:rsid w:val="00D51FAE"/>
    <w:rsid w:val="00D56713"/>
    <w:rsid w:val="00D670C3"/>
    <w:rsid w:val="00D74570"/>
    <w:rsid w:val="00D77796"/>
    <w:rsid w:val="00D80A8A"/>
    <w:rsid w:val="00D81BE8"/>
    <w:rsid w:val="00D85E51"/>
    <w:rsid w:val="00D911E5"/>
    <w:rsid w:val="00D938F7"/>
    <w:rsid w:val="00D95404"/>
    <w:rsid w:val="00DA7133"/>
    <w:rsid w:val="00DB3D69"/>
    <w:rsid w:val="00DB5882"/>
    <w:rsid w:val="00DD3593"/>
    <w:rsid w:val="00DE0A95"/>
    <w:rsid w:val="00DE433D"/>
    <w:rsid w:val="00E053D2"/>
    <w:rsid w:val="00E11BF9"/>
    <w:rsid w:val="00E211CA"/>
    <w:rsid w:val="00E26123"/>
    <w:rsid w:val="00E305C8"/>
    <w:rsid w:val="00E42B42"/>
    <w:rsid w:val="00E55B39"/>
    <w:rsid w:val="00E570BA"/>
    <w:rsid w:val="00E76A41"/>
    <w:rsid w:val="00E814B6"/>
    <w:rsid w:val="00E86EAE"/>
    <w:rsid w:val="00EA37B6"/>
    <w:rsid w:val="00ED07EF"/>
    <w:rsid w:val="00ED4D6A"/>
    <w:rsid w:val="00ED68BD"/>
    <w:rsid w:val="00EE6161"/>
    <w:rsid w:val="00EF735F"/>
    <w:rsid w:val="00EF76CF"/>
    <w:rsid w:val="00F23A0E"/>
    <w:rsid w:val="00F31420"/>
    <w:rsid w:val="00F3255D"/>
    <w:rsid w:val="00F34F13"/>
    <w:rsid w:val="00F61ED2"/>
    <w:rsid w:val="00F96E3F"/>
    <w:rsid w:val="00FA181A"/>
    <w:rsid w:val="00FA56B0"/>
    <w:rsid w:val="00FB574C"/>
    <w:rsid w:val="00FB5EB9"/>
    <w:rsid w:val="00FC4023"/>
    <w:rsid w:val="00FC41E3"/>
    <w:rsid w:val="00FC4227"/>
    <w:rsid w:val="00FD0017"/>
    <w:rsid w:val="00FD5104"/>
    <w:rsid w:val="00FD5FE4"/>
    <w:rsid w:val="00FF0500"/>
    <w:rsid w:val="00FF4F9E"/>
    <w:rsid w:val="00FF77C3"/>
    <w:rsid w:val="00FF7B0D"/>
    <w:rsid w:val="5A6CC6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FF13416"/>
  <w15:chartTrackingRefBased/>
  <w15:docId w15:val="{FEADF0F7-2DEE-4DD6-B519-0F6FBFAC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B46F0"/>
    <w:rPr>
      <w:rFonts w:ascii="Times New Roman" w:eastAsia="Times New Roman" w:hAnsi="Times New Roman"/>
      <w:sz w:val="24"/>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7E2"/>
    <w:pPr>
      <w:tabs>
        <w:tab w:val="center" w:pos="4320"/>
        <w:tab w:val="right" w:pos="8640"/>
      </w:tabs>
    </w:pPr>
  </w:style>
  <w:style w:type="character" w:customStyle="1" w:styleId="HeaderChar">
    <w:name w:val="Header Char"/>
    <w:basedOn w:val="DefaultParagraphFont"/>
    <w:link w:val="Header"/>
    <w:uiPriority w:val="99"/>
    <w:rsid w:val="001327E2"/>
  </w:style>
  <w:style w:type="paragraph" w:styleId="Footer">
    <w:name w:val="footer"/>
    <w:basedOn w:val="Normal"/>
    <w:link w:val="FooterChar"/>
    <w:uiPriority w:val="99"/>
    <w:unhideWhenUsed/>
    <w:rsid w:val="001327E2"/>
    <w:pPr>
      <w:tabs>
        <w:tab w:val="center" w:pos="4320"/>
        <w:tab w:val="right" w:pos="8640"/>
      </w:tabs>
    </w:pPr>
  </w:style>
  <w:style w:type="character" w:customStyle="1" w:styleId="FooterChar">
    <w:name w:val="Footer Char"/>
    <w:basedOn w:val="DefaultParagraphFont"/>
    <w:link w:val="Footer"/>
    <w:uiPriority w:val="99"/>
    <w:rsid w:val="001327E2"/>
  </w:style>
  <w:style w:type="paragraph" w:customStyle="1" w:styleId="Body">
    <w:name w:val="Body"/>
    <w:basedOn w:val="Normal"/>
    <w:qFormat/>
    <w:rsid w:val="00981DC8"/>
    <w:pPr>
      <w:spacing w:after="240" w:line="260" w:lineRule="exact"/>
    </w:pPr>
    <w:rPr>
      <w:rFonts w:ascii="Arial" w:hAnsi="Arial"/>
      <w:sz w:val="18"/>
    </w:rPr>
  </w:style>
  <w:style w:type="paragraph" w:customStyle="1" w:styleId="Body-spaceafter">
    <w:name w:val="Body - space after"/>
    <w:basedOn w:val="Normal"/>
    <w:qFormat/>
    <w:rsid w:val="00981DC8"/>
    <w:pPr>
      <w:spacing w:after="500"/>
    </w:pPr>
    <w:rPr>
      <w:rFonts w:ascii="Arial" w:hAnsi="Arial"/>
      <w:sz w:val="18"/>
    </w:rPr>
  </w:style>
  <w:style w:type="paragraph" w:customStyle="1" w:styleId="Body-spacebefore">
    <w:name w:val="Body - space before"/>
    <w:basedOn w:val="Body"/>
    <w:qFormat/>
    <w:rsid w:val="00981DC8"/>
    <w:pPr>
      <w:spacing w:before="500"/>
    </w:pPr>
  </w:style>
  <w:style w:type="table" w:styleId="TableGrid">
    <w:name w:val="Table Grid"/>
    <w:basedOn w:val="TableNormal"/>
    <w:rsid w:val="005257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57E6"/>
    <w:rPr>
      <w:color w:val="0000FF"/>
      <w:u w:val="single"/>
    </w:rPr>
  </w:style>
  <w:style w:type="paragraph" w:styleId="NormalWeb">
    <w:name w:val="Normal (Web)"/>
    <w:basedOn w:val="Normal"/>
    <w:rsid w:val="005B46F0"/>
    <w:pPr>
      <w:spacing w:before="100" w:beforeAutospacing="1" w:after="100" w:afterAutospacing="1"/>
    </w:pPr>
    <w:rPr>
      <w:szCs w:val="24"/>
      <w:lang w:val="en-AU"/>
    </w:rPr>
  </w:style>
  <w:style w:type="character" w:styleId="CommentReference">
    <w:name w:val="annotation reference"/>
    <w:semiHidden/>
    <w:rsid w:val="009F4203"/>
    <w:rPr>
      <w:sz w:val="16"/>
      <w:szCs w:val="16"/>
    </w:rPr>
  </w:style>
  <w:style w:type="paragraph" w:styleId="CommentText">
    <w:name w:val="annotation text"/>
    <w:basedOn w:val="Normal"/>
    <w:semiHidden/>
    <w:rsid w:val="009F4203"/>
    <w:rPr>
      <w:sz w:val="20"/>
    </w:rPr>
  </w:style>
  <w:style w:type="paragraph" w:styleId="BalloonText">
    <w:name w:val="Balloon Text"/>
    <w:basedOn w:val="Normal"/>
    <w:semiHidden/>
    <w:rsid w:val="009F4203"/>
    <w:rPr>
      <w:rFonts w:ascii="Tahoma" w:hAnsi="Tahoma" w:cs="Tahoma"/>
      <w:sz w:val="16"/>
      <w:szCs w:val="16"/>
    </w:rPr>
  </w:style>
  <w:style w:type="paragraph" w:styleId="CommentSubject">
    <w:name w:val="annotation subject"/>
    <w:basedOn w:val="CommentText"/>
    <w:next w:val="CommentText"/>
    <w:semiHidden/>
    <w:rsid w:val="00881037"/>
    <w:rPr>
      <w:b/>
      <w:bCs/>
    </w:rPr>
  </w:style>
  <w:style w:type="paragraph" w:styleId="ListParagraph">
    <w:name w:val="List Paragraph"/>
    <w:basedOn w:val="Normal"/>
    <w:uiPriority w:val="34"/>
    <w:qFormat/>
    <w:rsid w:val="00EE6161"/>
    <w:pPr>
      <w:ind w:left="720"/>
    </w:pPr>
  </w:style>
  <w:style w:type="paragraph" w:styleId="EndnoteText">
    <w:name w:val="endnote text"/>
    <w:basedOn w:val="Normal"/>
    <w:link w:val="EndnoteTextChar"/>
    <w:rsid w:val="00552D72"/>
    <w:rPr>
      <w:sz w:val="20"/>
    </w:rPr>
  </w:style>
  <w:style w:type="character" w:customStyle="1" w:styleId="EndnoteTextChar">
    <w:name w:val="Endnote Text Char"/>
    <w:link w:val="EndnoteText"/>
    <w:rsid w:val="00552D72"/>
    <w:rPr>
      <w:rFonts w:ascii="Times New Roman" w:eastAsia="Times New Roman" w:hAnsi="Times New Roman"/>
      <w:lang w:val="en-GB"/>
    </w:rPr>
  </w:style>
  <w:style w:type="character" w:styleId="EndnoteReference">
    <w:name w:val="endnote reference"/>
    <w:rsid w:val="00552D72"/>
    <w:rPr>
      <w:vertAlign w:val="superscript"/>
    </w:rPr>
  </w:style>
  <w:style w:type="paragraph" w:styleId="FootnoteText">
    <w:name w:val="footnote text"/>
    <w:basedOn w:val="Normal"/>
    <w:link w:val="FootnoteTextChar"/>
    <w:rsid w:val="00552D72"/>
    <w:rPr>
      <w:sz w:val="20"/>
    </w:rPr>
  </w:style>
  <w:style w:type="character" w:customStyle="1" w:styleId="FootnoteTextChar">
    <w:name w:val="Footnote Text Char"/>
    <w:link w:val="FootnoteText"/>
    <w:rsid w:val="00552D72"/>
    <w:rPr>
      <w:rFonts w:ascii="Times New Roman" w:eastAsia="Times New Roman" w:hAnsi="Times New Roman"/>
      <w:lang w:val="en-GB"/>
    </w:rPr>
  </w:style>
  <w:style w:type="character" w:styleId="FootnoteReference">
    <w:name w:val="footnote reference"/>
    <w:rsid w:val="00552D72"/>
    <w:rPr>
      <w:vertAlign w:val="superscript"/>
    </w:rPr>
  </w:style>
  <w:style w:type="paragraph" w:styleId="Revision">
    <w:name w:val="Revision"/>
    <w:hidden/>
    <w:uiPriority w:val="99"/>
    <w:semiHidden/>
    <w:rsid w:val="00552D72"/>
    <w:rPr>
      <w:rFonts w:ascii="Times New Roman" w:eastAsia="Times New Roman" w:hAnsi="Times New Roman"/>
      <w:sz w:val="24"/>
      <w:lang w:val="en-GB" w:eastAsia="en-AU"/>
    </w:rPr>
  </w:style>
  <w:style w:type="paragraph" w:styleId="NoSpacing">
    <w:name w:val="No Spacing"/>
    <w:uiPriority w:val="1"/>
    <w:qFormat/>
    <w:rsid w:val="00367BD4"/>
    <w:rPr>
      <w:rFonts w:ascii="Times New Roman" w:eastAsia="Times New Roman" w:hAnsi="Times New Roman"/>
      <w:sz w:val="24"/>
      <w:szCs w:val="24"/>
      <w:lang w:val="en-AU" w:eastAsia="en-AU"/>
    </w:rPr>
  </w:style>
  <w:style w:type="character" w:styleId="Mention">
    <w:name w:val="Mention"/>
    <w:uiPriority w:val="99"/>
    <w:semiHidden/>
    <w:unhideWhenUsed/>
    <w:rsid w:val="006A11F2"/>
    <w:rPr>
      <w:color w:val="2B579A"/>
      <w:shd w:val="clear" w:color="auto" w:fill="E6E6E6"/>
    </w:rPr>
  </w:style>
  <w:style w:type="paragraph" w:customStyle="1" w:styleId="paragraph">
    <w:name w:val="paragraph"/>
    <w:basedOn w:val="Normal"/>
    <w:rsid w:val="00A02A67"/>
    <w:pPr>
      <w:spacing w:before="100" w:beforeAutospacing="1" w:after="100" w:afterAutospacing="1"/>
    </w:pPr>
    <w:rPr>
      <w:szCs w:val="24"/>
      <w:lang w:val="en-AU"/>
    </w:rPr>
  </w:style>
  <w:style w:type="character" w:customStyle="1" w:styleId="normaltextrun">
    <w:name w:val="normaltextrun"/>
    <w:basedOn w:val="DefaultParagraphFont"/>
    <w:rsid w:val="00A02A67"/>
  </w:style>
  <w:style w:type="character" w:customStyle="1" w:styleId="contextualspellingandgrammarerror">
    <w:name w:val="contextualspellingandgrammarerror"/>
    <w:basedOn w:val="DefaultParagraphFont"/>
    <w:rsid w:val="00A02A67"/>
  </w:style>
  <w:style w:type="character" w:customStyle="1" w:styleId="eop">
    <w:name w:val="eop"/>
    <w:basedOn w:val="DefaultParagraphFont"/>
    <w:rsid w:val="00A02A67"/>
  </w:style>
  <w:style w:type="character" w:customStyle="1" w:styleId="advancedproofingissue">
    <w:name w:val="advancedproofingissue"/>
    <w:basedOn w:val="DefaultParagraphFont"/>
    <w:rsid w:val="00093D8E"/>
  </w:style>
  <w:style w:type="paragraph" w:customStyle="1" w:styleId="Default">
    <w:name w:val="Default"/>
    <w:rsid w:val="0045076E"/>
    <w:pPr>
      <w:autoSpaceDE w:val="0"/>
      <w:autoSpaceDN w:val="0"/>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2532">
      <w:bodyDiv w:val="1"/>
      <w:marLeft w:val="0"/>
      <w:marRight w:val="0"/>
      <w:marTop w:val="0"/>
      <w:marBottom w:val="0"/>
      <w:divBdr>
        <w:top w:val="none" w:sz="0" w:space="0" w:color="auto"/>
        <w:left w:val="none" w:sz="0" w:space="0" w:color="auto"/>
        <w:bottom w:val="none" w:sz="0" w:space="0" w:color="auto"/>
        <w:right w:val="none" w:sz="0" w:space="0" w:color="auto"/>
      </w:divBdr>
    </w:div>
    <w:div w:id="98139038">
      <w:bodyDiv w:val="1"/>
      <w:marLeft w:val="0"/>
      <w:marRight w:val="0"/>
      <w:marTop w:val="0"/>
      <w:marBottom w:val="0"/>
      <w:divBdr>
        <w:top w:val="none" w:sz="0" w:space="0" w:color="auto"/>
        <w:left w:val="none" w:sz="0" w:space="0" w:color="auto"/>
        <w:bottom w:val="none" w:sz="0" w:space="0" w:color="auto"/>
        <w:right w:val="none" w:sz="0" w:space="0" w:color="auto"/>
      </w:divBdr>
      <w:divsChild>
        <w:div w:id="532352648">
          <w:marLeft w:val="0"/>
          <w:marRight w:val="0"/>
          <w:marTop w:val="0"/>
          <w:marBottom w:val="0"/>
          <w:divBdr>
            <w:top w:val="none" w:sz="0" w:space="0" w:color="auto"/>
            <w:left w:val="none" w:sz="0" w:space="0" w:color="auto"/>
            <w:bottom w:val="none" w:sz="0" w:space="0" w:color="auto"/>
            <w:right w:val="none" w:sz="0" w:space="0" w:color="auto"/>
          </w:divBdr>
        </w:div>
        <w:div w:id="55472360">
          <w:marLeft w:val="0"/>
          <w:marRight w:val="0"/>
          <w:marTop w:val="0"/>
          <w:marBottom w:val="0"/>
          <w:divBdr>
            <w:top w:val="none" w:sz="0" w:space="0" w:color="auto"/>
            <w:left w:val="none" w:sz="0" w:space="0" w:color="auto"/>
            <w:bottom w:val="none" w:sz="0" w:space="0" w:color="auto"/>
            <w:right w:val="none" w:sz="0" w:space="0" w:color="auto"/>
          </w:divBdr>
        </w:div>
        <w:div w:id="801269518">
          <w:marLeft w:val="0"/>
          <w:marRight w:val="0"/>
          <w:marTop w:val="0"/>
          <w:marBottom w:val="0"/>
          <w:divBdr>
            <w:top w:val="none" w:sz="0" w:space="0" w:color="auto"/>
            <w:left w:val="none" w:sz="0" w:space="0" w:color="auto"/>
            <w:bottom w:val="none" w:sz="0" w:space="0" w:color="auto"/>
            <w:right w:val="none" w:sz="0" w:space="0" w:color="auto"/>
          </w:divBdr>
        </w:div>
        <w:div w:id="510920137">
          <w:marLeft w:val="0"/>
          <w:marRight w:val="0"/>
          <w:marTop w:val="0"/>
          <w:marBottom w:val="0"/>
          <w:divBdr>
            <w:top w:val="none" w:sz="0" w:space="0" w:color="auto"/>
            <w:left w:val="none" w:sz="0" w:space="0" w:color="auto"/>
            <w:bottom w:val="none" w:sz="0" w:space="0" w:color="auto"/>
            <w:right w:val="none" w:sz="0" w:space="0" w:color="auto"/>
          </w:divBdr>
        </w:div>
        <w:div w:id="1998921387">
          <w:marLeft w:val="0"/>
          <w:marRight w:val="0"/>
          <w:marTop w:val="0"/>
          <w:marBottom w:val="0"/>
          <w:divBdr>
            <w:top w:val="none" w:sz="0" w:space="0" w:color="auto"/>
            <w:left w:val="none" w:sz="0" w:space="0" w:color="auto"/>
            <w:bottom w:val="none" w:sz="0" w:space="0" w:color="auto"/>
            <w:right w:val="none" w:sz="0" w:space="0" w:color="auto"/>
          </w:divBdr>
        </w:div>
      </w:divsChild>
    </w:div>
    <w:div w:id="326058882">
      <w:bodyDiv w:val="1"/>
      <w:marLeft w:val="0"/>
      <w:marRight w:val="0"/>
      <w:marTop w:val="0"/>
      <w:marBottom w:val="0"/>
      <w:divBdr>
        <w:top w:val="none" w:sz="0" w:space="0" w:color="auto"/>
        <w:left w:val="none" w:sz="0" w:space="0" w:color="auto"/>
        <w:bottom w:val="none" w:sz="0" w:space="0" w:color="auto"/>
        <w:right w:val="none" w:sz="0" w:space="0" w:color="auto"/>
      </w:divBdr>
    </w:div>
    <w:div w:id="423653956">
      <w:bodyDiv w:val="1"/>
      <w:marLeft w:val="0"/>
      <w:marRight w:val="0"/>
      <w:marTop w:val="0"/>
      <w:marBottom w:val="0"/>
      <w:divBdr>
        <w:top w:val="none" w:sz="0" w:space="0" w:color="auto"/>
        <w:left w:val="none" w:sz="0" w:space="0" w:color="auto"/>
        <w:bottom w:val="none" w:sz="0" w:space="0" w:color="auto"/>
        <w:right w:val="none" w:sz="0" w:space="0" w:color="auto"/>
      </w:divBdr>
    </w:div>
    <w:div w:id="585383297">
      <w:bodyDiv w:val="1"/>
      <w:marLeft w:val="0"/>
      <w:marRight w:val="0"/>
      <w:marTop w:val="0"/>
      <w:marBottom w:val="0"/>
      <w:divBdr>
        <w:top w:val="none" w:sz="0" w:space="0" w:color="auto"/>
        <w:left w:val="none" w:sz="0" w:space="0" w:color="auto"/>
        <w:bottom w:val="none" w:sz="0" w:space="0" w:color="auto"/>
        <w:right w:val="none" w:sz="0" w:space="0" w:color="auto"/>
      </w:divBdr>
    </w:div>
    <w:div w:id="635840492">
      <w:bodyDiv w:val="1"/>
      <w:marLeft w:val="0"/>
      <w:marRight w:val="0"/>
      <w:marTop w:val="0"/>
      <w:marBottom w:val="0"/>
      <w:divBdr>
        <w:top w:val="none" w:sz="0" w:space="0" w:color="auto"/>
        <w:left w:val="none" w:sz="0" w:space="0" w:color="auto"/>
        <w:bottom w:val="none" w:sz="0" w:space="0" w:color="auto"/>
        <w:right w:val="none" w:sz="0" w:space="0" w:color="auto"/>
      </w:divBdr>
    </w:div>
    <w:div w:id="1443577265">
      <w:bodyDiv w:val="1"/>
      <w:marLeft w:val="0"/>
      <w:marRight w:val="0"/>
      <w:marTop w:val="0"/>
      <w:marBottom w:val="0"/>
      <w:divBdr>
        <w:top w:val="none" w:sz="0" w:space="0" w:color="auto"/>
        <w:left w:val="none" w:sz="0" w:space="0" w:color="auto"/>
        <w:bottom w:val="none" w:sz="0" w:space="0" w:color="auto"/>
        <w:right w:val="none" w:sz="0" w:space="0" w:color="auto"/>
      </w:divBdr>
    </w:div>
    <w:div w:id="1699965042">
      <w:bodyDiv w:val="1"/>
      <w:marLeft w:val="0"/>
      <w:marRight w:val="0"/>
      <w:marTop w:val="0"/>
      <w:marBottom w:val="0"/>
      <w:divBdr>
        <w:top w:val="none" w:sz="0" w:space="0" w:color="auto"/>
        <w:left w:val="none" w:sz="0" w:space="0" w:color="auto"/>
        <w:bottom w:val="none" w:sz="0" w:space="0" w:color="auto"/>
        <w:right w:val="none" w:sz="0" w:space="0" w:color="auto"/>
      </w:divBdr>
    </w:div>
    <w:div w:id="187538074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acn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nc.gov.au/tools/guides/charities-elections-and-advoca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cnc.gov.au/tools/reports/australian-charities-report-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CNC">
      <a:dk1>
        <a:srgbClr val="666666"/>
      </a:dk1>
      <a:lt1>
        <a:sysClr val="window" lastClr="FFFFFF"/>
      </a:lt1>
      <a:dk2>
        <a:srgbClr val="000000"/>
      </a:dk2>
      <a:lt2>
        <a:srgbClr val="E7E6E6"/>
      </a:lt2>
      <a:accent1>
        <a:srgbClr val="245A8F"/>
      </a:accent1>
      <a:accent2>
        <a:srgbClr val="97CDD0"/>
      </a:accent2>
      <a:accent3>
        <a:srgbClr val="338177"/>
      </a:accent3>
      <a:accent4>
        <a:srgbClr val="669933"/>
      </a:accent4>
      <a:accent5>
        <a:srgbClr val="CCCC33"/>
      </a:accent5>
      <a:accent6>
        <a:srgbClr val="FFFFFF"/>
      </a:accent6>
      <a:hlink>
        <a:srgbClr val="245A8F"/>
      </a:hlink>
      <a:folHlink>
        <a:srgbClr val="6666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401613EB747247B36938536F905241" ma:contentTypeVersion="6" ma:contentTypeDescription="Create a new document." ma:contentTypeScope="" ma:versionID="638a9c814e8db3421bc0055cd7ed2895">
  <xsd:schema xmlns:xsd="http://www.w3.org/2001/XMLSchema" xmlns:xs="http://www.w3.org/2001/XMLSchema" xmlns:p="http://schemas.microsoft.com/office/2006/metadata/properties" xmlns:ns2="7f1cd757-090a-4ce9-9ffe-b9dc4371f0e9" targetNamespace="http://schemas.microsoft.com/office/2006/metadata/properties" ma:root="true" ma:fieldsID="3b741eb94c28b804c69a150dd157287a" ns2:_="">
    <xsd:import namespace="7f1cd757-090a-4ce9-9ffe-b9dc4371f0e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cd757-090a-4ce9-9ffe-b9dc4371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DF3C2-1ABD-4158-9CE2-01A9C25A4F3F}">
  <ds:schemaRefs>
    <ds:schemaRef ds:uri="http://schemas.microsoft.com/sharepoint/v3/contenttype/forms"/>
  </ds:schemaRefs>
</ds:datastoreItem>
</file>

<file path=customXml/itemProps2.xml><?xml version="1.0" encoding="utf-8"?>
<ds:datastoreItem xmlns:ds="http://schemas.openxmlformats.org/officeDocument/2006/customXml" ds:itemID="{41D2D5EF-F18F-4D66-8F0D-5CD78A582FAC}">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7f1cd757-090a-4ce9-9ffe-b9dc4371f0e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886A14D-1C3C-4860-8E74-74E2F9238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cd757-090a-4ce9-9ffe-b9dc4371f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7A3DC-FE6E-4D50-9FAB-AFEA66D8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6428</Characters>
  <Application>Microsoft Office Word</Application>
  <DocSecurity>6</DocSecurity>
  <Lines>53</Lines>
  <Paragraphs>15</Paragraphs>
  <ScaleCrop>false</ScaleCrop>
  <HeadingPairs>
    <vt:vector size="2" baseType="variant">
      <vt:variant>
        <vt:lpstr>Title</vt:lpstr>
      </vt:variant>
      <vt:variant>
        <vt:i4>1</vt:i4>
      </vt:variant>
    </vt:vector>
  </HeadingPairs>
  <TitlesOfParts>
    <vt:vector size="1" baseType="lpstr">
      <vt:lpstr>Mr/ Mrs/ Ms [First Name Surname]</vt:lpstr>
    </vt:vector>
  </TitlesOfParts>
  <Company>ATO</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Mrs/ Ms [First Name Surname]</dc:title>
  <dc:subject/>
  <dc:creator>ub75g</dc:creator>
  <cp:keywords/>
  <cp:lastModifiedBy>Chris Riches</cp:lastModifiedBy>
  <cp:revision>2</cp:revision>
  <cp:lastPrinted>2017-10-02T09:13:00Z</cp:lastPrinted>
  <dcterms:created xsi:type="dcterms:W3CDTF">2019-09-24T23:21:00Z</dcterms:created>
  <dcterms:modified xsi:type="dcterms:W3CDTF">2019-09-24T23:21:00Z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0x010100C5401613EB747247B36938536F905241</vt:lpwstr>
  </property>
</Properties>
</file>